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24B" w:rsidRPr="00BA1B44" w:rsidRDefault="00BA1B44" w:rsidP="0043700F">
      <w:pPr>
        <w:tabs>
          <w:tab w:val="left" w:pos="0"/>
        </w:tabs>
        <w:spacing w:before="120" w:after="120"/>
        <w:jc w:val="center"/>
        <w:rPr>
          <w:sz w:val="36"/>
          <w:szCs w:val="36"/>
        </w:rPr>
      </w:pPr>
      <w:r w:rsidRPr="00BA1B44">
        <w:rPr>
          <w:rStyle w:val="a8"/>
          <w:rFonts w:hint="eastAsia"/>
          <w:sz w:val="36"/>
          <w:szCs w:val="36"/>
        </w:rPr>
        <w:t>家银理财</w:t>
      </w:r>
      <w:r w:rsidRPr="00BA1B44">
        <w:rPr>
          <w:rStyle w:val="a8"/>
          <w:sz w:val="36"/>
          <w:szCs w:val="36"/>
        </w:rPr>
        <w:t>-</w:t>
      </w:r>
      <w:r w:rsidRPr="00BA1B44">
        <w:rPr>
          <w:rStyle w:val="a8"/>
          <w:rFonts w:hint="eastAsia"/>
          <w:sz w:val="36"/>
          <w:szCs w:val="36"/>
        </w:rPr>
        <w:t>好运瑞稳持有期限</w:t>
      </w:r>
      <w:r w:rsidRPr="00BA1B44">
        <w:rPr>
          <w:rStyle w:val="a8"/>
          <w:sz w:val="36"/>
          <w:szCs w:val="36"/>
        </w:rPr>
        <w:t>322</w:t>
      </w:r>
      <w:r w:rsidRPr="00BA1B44">
        <w:rPr>
          <w:rStyle w:val="a8"/>
          <w:rFonts w:hint="eastAsia"/>
          <w:sz w:val="36"/>
          <w:szCs w:val="36"/>
        </w:rPr>
        <w:t>天开放式固定收益类净值型理财产品2</w:t>
      </w:r>
      <w:r w:rsidRPr="00BA1B44">
        <w:rPr>
          <w:rStyle w:val="a8"/>
          <w:sz w:val="36"/>
          <w:szCs w:val="36"/>
        </w:rPr>
        <w:t>02</w:t>
      </w:r>
      <w:r w:rsidR="001444CA">
        <w:rPr>
          <w:rStyle w:val="a8"/>
          <w:sz w:val="36"/>
          <w:szCs w:val="36"/>
        </w:rPr>
        <w:t>5</w:t>
      </w:r>
      <w:r w:rsidRPr="00BA1B44">
        <w:rPr>
          <w:rStyle w:val="a8"/>
          <w:sz w:val="36"/>
          <w:szCs w:val="36"/>
        </w:rPr>
        <w:t>年</w:t>
      </w:r>
      <w:r w:rsidR="00C421FB">
        <w:rPr>
          <w:rStyle w:val="a8"/>
          <w:rFonts w:hint="eastAsia"/>
          <w:sz w:val="36"/>
          <w:szCs w:val="36"/>
        </w:rPr>
        <w:t>年</w:t>
      </w:r>
      <w:r w:rsidR="002050E1">
        <w:rPr>
          <w:rStyle w:val="a8"/>
          <w:rFonts w:hint="eastAsia"/>
          <w:sz w:val="36"/>
          <w:szCs w:val="36"/>
        </w:rPr>
        <w:t>度</w:t>
      </w:r>
      <w:r w:rsidR="00CE162A">
        <w:rPr>
          <w:rStyle w:val="a8"/>
          <w:rFonts w:hint="eastAsia"/>
          <w:sz w:val="36"/>
          <w:szCs w:val="36"/>
        </w:rPr>
        <w:t>信息披露</w:t>
      </w:r>
      <w:r w:rsidRPr="00BA1B44">
        <w:rPr>
          <w:rStyle w:val="a8"/>
          <w:sz w:val="36"/>
          <w:szCs w:val="36"/>
        </w:rPr>
        <w:t>报告</w:t>
      </w:r>
    </w:p>
    <w:p w:rsidR="00BA1B44" w:rsidRDefault="00BA1B44" w:rsidP="0043700F">
      <w:pPr>
        <w:spacing w:before="120" w:after="120"/>
        <w:jc w:val="center"/>
        <w:rPr>
          <w:rFonts w:ascii="楷体_GB2312" w:eastAsia="楷体_GB2312"/>
          <w:b/>
          <w:sz w:val="36"/>
          <w:szCs w:val="36"/>
        </w:rPr>
      </w:pPr>
    </w:p>
    <w:p w:rsidR="00BA1B44" w:rsidRPr="00772074" w:rsidRDefault="00BA1B44" w:rsidP="0043700F">
      <w:pPr>
        <w:spacing w:before="120" w:after="120"/>
        <w:jc w:val="center"/>
        <w:rPr>
          <w:rFonts w:ascii="楷体_GB2312" w:eastAsia="楷体_GB2312"/>
          <w:b/>
          <w:sz w:val="36"/>
          <w:szCs w:val="36"/>
        </w:rPr>
      </w:pPr>
    </w:p>
    <w:p w:rsidR="00BA1B44" w:rsidRPr="00CB20D0"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001753" w:rsidRPr="00EF6621" w:rsidRDefault="00001753"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B56FC" w:rsidRDefault="00BB56FC" w:rsidP="0043700F">
      <w:pPr>
        <w:spacing w:before="120" w:after="120"/>
        <w:jc w:val="center"/>
        <w:rPr>
          <w:rFonts w:ascii="楷体_GB2312" w:eastAsia="楷体_GB2312"/>
          <w:b/>
          <w:sz w:val="36"/>
          <w:szCs w:val="36"/>
        </w:rPr>
      </w:pPr>
    </w:p>
    <w:p w:rsidR="00BA1B44" w:rsidRPr="00BB56FC" w:rsidRDefault="00BA1B44" w:rsidP="0043700F">
      <w:pPr>
        <w:spacing w:before="120" w:after="120"/>
        <w:jc w:val="center"/>
        <w:rPr>
          <w:rFonts w:ascii="楷体_GB2312" w:eastAsia="楷体_GB2312"/>
          <w:b/>
        </w:rPr>
      </w:pPr>
    </w:p>
    <w:p w:rsidR="00BA1B44" w:rsidRPr="00BB56FC" w:rsidRDefault="00BA1B44" w:rsidP="00677B1F">
      <w:pPr>
        <w:spacing w:before="120" w:after="120"/>
        <w:jc w:val="center"/>
        <w:rPr>
          <w:rFonts w:ascii="楷体_GB2312" w:eastAsia="楷体_GB2312"/>
          <w:b/>
        </w:rPr>
      </w:pPr>
      <w:r w:rsidRPr="00BB56FC">
        <w:rPr>
          <w:rFonts w:hint="eastAsia"/>
          <w:b/>
          <w:bCs/>
        </w:rPr>
        <w:t>理财产品管理人: 张家口银行股份有限公司</w:t>
      </w:r>
    </w:p>
    <w:p w:rsidR="00BA1B44" w:rsidRPr="00BB56FC" w:rsidRDefault="00BA1B44" w:rsidP="00677B1F">
      <w:pPr>
        <w:spacing w:before="120" w:after="120"/>
        <w:jc w:val="center"/>
        <w:rPr>
          <w:b/>
          <w:bCs/>
        </w:rPr>
      </w:pPr>
      <w:r w:rsidRPr="00BB56FC">
        <w:rPr>
          <w:rFonts w:hint="eastAsia"/>
          <w:b/>
          <w:bCs/>
        </w:rPr>
        <w:t>理财产品托管人</w:t>
      </w:r>
      <w:r w:rsidRPr="00BB56FC">
        <w:rPr>
          <w:b/>
          <w:bCs/>
        </w:rPr>
        <w:t>: 宁波银行股份有限公司</w:t>
      </w:r>
    </w:p>
    <w:p w:rsidR="00BB56FC" w:rsidRPr="00BB56FC" w:rsidRDefault="00BB56FC" w:rsidP="00677B1F">
      <w:pPr>
        <w:spacing w:before="120" w:after="120"/>
        <w:jc w:val="center"/>
        <w:rPr>
          <w:rStyle w:val="a8"/>
        </w:rPr>
      </w:pPr>
      <w:r w:rsidRPr="00BB56FC">
        <w:rPr>
          <w:rStyle w:val="a8"/>
        </w:rPr>
        <w:t>报告期：202</w:t>
      </w:r>
      <w:r w:rsidR="001444CA">
        <w:rPr>
          <w:rStyle w:val="a8"/>
        </w:rPr>
        <w:t>5</w:t>
      </w:r>
      <w:r w:rsidRPr="00BB56FC">
        <w:rPr>
          <w:rStyle w:val="a8"/>
        </w:rPr>
        <w:t>年</w:t>
      </w:r>
      <w:r w:rsidR="00C421FB">
        <w:rPr>
          <w:rStyle w:val="a8"/>
          <w:rFonts w:hint="eastAsia"/>
        </w:rPr>
        <w:t>0</w:t>
      </w:r>
      <w:r w:rsidR="00C421FB">
        <w:rPr>
          <w:rStyle w:val="a8"/>
        </w:rPr>
        <w:t>1</w:t>
      </w:r>
      <w:r w:rsidRPr="00BB56FC">
        <w:rPr>
          <w:rStyle w:val="a8"/>
        </w:rPr>
        <w:t>月</w:t>
      </w:r>
      <w:r w:rsidR="00671E85">
        <w:rPr>
          <w:rStyle w:val="a8"/>
        </w:rPr>
        <w:t>01</w:t>
      </w:r>
      <w:r w:rsidRPr="00BB56FC">
        <w:rPr>
          <w:rStyle w:val="a8"/>
        </w:rPr>
        <w:t>日</w:t>
      </w:r>
      <w:r w:rsidR="00671E85">
        <w:rPr>
          <w:rStyle w:val="a8"/>
          <w:rFonts w:hint="eastAsia"/>
        </w:rPr>
        <w:t>至</w:t>
      </w:r>
      <w:r w:rsidR="00671E85">
        <w:rPr>
          <w:rStyle w:val="a8"/>
        </w:rPr>
        <w:t>202</w:t>
      </w:r>
      <w:r w:rsidR="001444CA">
        <w:rPr>
          <w:rStyle w:val="a8"/>
        </w:rPr>
        <w:t>5</w:t>
      </w:r>
      <w:r w:rsidR="00671E85">
        <w:rPr>
          <w:rStyle w:val="a8"/>
        </w:rPr>
        <w:t>年</w:t>
      </w:r>
      <w:r w:rsidR="00C421FB">
        <w:rPr>
          <w:rStyle w:val="a8"/>
        </w:rPr>
        <w:t>12</w:t>
      </w:r>
      <w:r w:rsidR="00671E85">
        <w:rPr>
          <w:rStyle w:val="a8"/>
          <w:rFonts w:hint="eastAsia"/>
        </w:rPr>
        <w:t>月3</w:t>
      </w:r>
      <w:r w:rsidR="00C421FB">
        <w:rPr>
          <w:rStyle w:val="a8"/>
        </w:rPr>
        <w:t>1</w:t>
      </w:r>
      <w:r w:rsidR="00671E85">
        <w:rPr>
          <w:rStyle w:val="a8"/>
        </w:rPr>
        <w:t>日</w:t>
      </w:r>
    </w:p>
    <w:p w:rsidR="00BA1B44" w:rsidRPr="00BB56FC" w:rsidRDefault="00BA1B44" w:rsidP="00677B1F">
      <w:pPr>
        <w:spacing w:before="120" w:after="120"/>
        <w:jc w:val="center"/>
        <w:rPr>
          <w:b/>
          <w:bCs/>
        </w:rPr>
      </w:pPr>
    </w:p>
    <w:p w:rsidR="00CB20D0" w:rsidRDefault="00CB20D0" w:rsidP="00677B1F">
      <w:pPr>
        <w:spacing w:before="120" w:after="120"/>
        <w:jc w:val="center"/>
        <w:rPr>
          <w:b/>
          <w:bCs/>
        </w:rPr>
      </w:pPr>
    </w:p>
    <w:p w:rsidR="00BB56FC" w:rsidRPr="00C421FB" w:rsidRDefault="00BB56FC" w:rsidP="00677B1F">
      <w:pPr>
        <w:spacing w:before="120" w:after="120"/>
        <w:jc w:val="center"/>
        <w:rPr>
          <w:rFonts w:ascii="楷体_GB2312" w:eastAsia="楷体_GB2312"/>
          <w:b/>
          <w:sz w:val="36"/>
          <w:szCs w:val="36"/>
        </w:rPr>
      </w:pPr>
    </w:p>
    <w:p w:rsidR="00772074" w:rsidRDefault="00772074" w:rsidP="00677B1F">
      <w:pPr>
        <w:spacing w:before="120" w:after="120"/>
        <w:jc w:val="center"/>
        <w:rPr>
          <w:rFonts w:ascii="楷体_GB2312" w:eastAsia="楷体_GB2312"/>
          <w:b/>
          <w:sz w:val="36"/>
          <w:szCs w:val="36"/>
        </w:rPr>
      </w:pPr>
    </w:p>
    <w:p w:rsidR="00CB20D0" w:rsidRPr="008B5E28" w:rsidRDefault="00CB20D0" w:rsidP="00CB20D0">
      <w:pPr>
        <w:spacing w:before="120" w:after="120"/>
        <w:rPr>
          <w:color w:val="000000"/>
          <w:sz w:val="20"/>
          <w:szCs w:val="20"/>
        </w:rPr>
      </w:pPr>
      <w:r w:rsidRPr="008B5E28">
        <w:rPr>
          <w:rFonts w:hint="eastAsia"/>
          <w:color w:val="000000"/>
          <w:sz w:val="20"/>
          <w:szCs w:val="20"/>
        </w:rPr>
        <w:t>注:本</w:t>
      </w:r>
      <w:r w:rsidR="00D9798D">
        <w:rPr>
          <w:rFonts w:hint="eastAsia"/>
          <w:color w:val="000000"/>
          <w:sz w:val="20"/>
          <w:szCs w:val="20"/>
        </w:rPr>
        <w:t>理财</w:t>
      </w:r>
      <w:r w:rsidRPr="008B5E28">
        <w:rPr>
          <w:rFonts w:hint="eastAsia"/>
          <w:color w:val="000000"/>
          <w:sz w:val="20"/>
          <w:szCs w:val="20"/>
        </w:rPr>
        <w:t>产品</w:t>
      </w:r>
      <w:r w:rsidR="00312900">
        <w:rPr>
          <w:rFonts w:hint="eastAsia"/>
          <w:color w:val="000000"/>
          <w:sz w:val="20"/>
          <w:szCs w:val="20"/>
        </w:rPr>
        <w:t>过往业绩、</w:t>
      </w:r>
      <w:r w:rsidRPr="008B5E28">
        <w:rPr>
          <w:rFonts w:hint="eastAsia"/>
          <w:color w:val="000000"/>
          <w:sz w:val="20"/>
          <w:szCs w:val="20"/>
        </w:rPr>
        <w:t>业绩比较基准</w:t>
      </w:r>
      <w:r w:rsidR="00312900">
        <w:rPr>
          <w:rFonts w:hint="eastAsia"/>
          <w:color w:val="000000"/>
          <w:sz w:val="20"/>
          <w:szCs w:val="20"/>
        </w:rPr>
        <w:t>、</w:t>
      </w:r>
      <w:r w:rsidRPr="008B5E28">
        <w:rPr>
          <w:rFonts w:hint="eastAsia"/>
          <w:color w:val="000000"/>
          <w:sz w:val="20"/>
          <w:szCs w:val="20"/>
        </w:rPr>
        <w:t>业绩报酬计提基准等类似表述不是预期收益率，不代表</w:t>
      </w:r>
      <w:r w:rsidR="00D9798D">
        <w:rPr>
          <w:rFonts w:hint="eastAsia"/>
          <w:color w:val="000000"/>
          <w:sz w:val="20"/>
          <w:szCs w:val="20"/>
        </w:rPr>
        <w:t>理财</w:t>
      </w:r>
      <w:r w:rsidRPr="008B5E28">
        <w:rPr>
          <w:rFonts w:hint="eastAsia"/>
          <w:color w:val="000000"/>
          <w:sz w:val="20"/>
          <w:szCs w:val="20"/>
        </w:rPr>
        <w:t>产品的未来表现</w:t>
      </w:r>
      <w:r w:rsidR="00D9798D">
        <w:rPr>
          <w:rFonts w:hint="eastAsia"/>
          <w:color w:val="000000"/>
          <w:sz w:val="20"/>
          <w:szCs w:val="20"/>
        </w:rPr>
        <w:t>，不等于理财产品</w:t>
      </w:r>
      <w:r w:rsidRPr="008B5E28">
        <w:rPr>
          <w:rFonts w:hint="eastAsia"/>
          <w:color w:val="000000"/>
          <w:sz w:val="20"/>
          <w:szCs w:val="20"/>
        </w:rPr>
        <w:t>实际收益，不构成对</w:t>
      </w:r>
      <w:r w:rsidR="00136447">
        <w:rPr>
          <w:rFonts w:hint="eastAsia"/>
          <w:color w:val="000000"/>
          <w:sz w:val="20"/>
          <w:szCs w:val="20"/>
        </w:rPr>
        <w:t>理财</w:t>
      </w:r>
      <w:r w:rsidRPr="008B5E28">
        <w:rPr>
          <w:rFonts w:hint="eastAsia"/>
          <w:color w:val="000000"/>
          <w:sz w:val="20"/>
          <w:szCs w:val="20"/>
        </w:rPr>
        <w:t>产品收益的承诺，仅供投资者进行投资决定时参考。</w:t>
      </w:r>
      <w:r>
        <w:rPr>
          <w:rFonts w:hint="eastAsia"/>
          <w:color w:val="000000"/>
          <w:sz w:val="20"/>
          <w:szCs w:val="20"/>
        </w:rPr>
        <w:t>理财非存款，产品有风险，投资须谨慎。</w:t>
      </w:r>
    </w:p>
    <w:p w:rsidR="00841835" w:rsidRPr="00293B70" w:rsidRDefault="00293B70" w:rsidP="00F40418">
      <w:pPr>
        <w:spacing w:before="120" w:after="120"/>
        <w:ind w:firstLineChars="200" w:firstLine="643"/>
        <w:rPr>
          <w:b/>
          <w:color w:val="000000"/>
          <w:sz w:val="32"/>
          <w:szCs w:val="32"/>
        </w:rPr>
      </w:pPr>
      <w:r>
        <w:rPr>
          <w:rFonts w:hint="eastAsia"/>
          <w:b/>
          <w:color w:val="000000"/>
          <w:sz w:val="32"/>
          <w:szCs w:val="32"/>
        </w:rPr>
        <w:lastRenderedPageBreak/>
        <w:t>一、</w:t>
      </w:r>
      <w:r w:rsidR="00B428A8">
        <w:rPr>
          <w:rFonts w:hint="eastAsia"/>
          <w:b/>
          <w:color w:val="000000"/>
          <w:sz w:val="32"/>
          <w:szCs w:val="32"/>
        </w:rPr>
        <w:t>理财</w:t>
      </w:r>
      <w:r w:rsidR="00841835" w:rsidRPr="00293B70">
        <w:rPr>
          <w:b/>
          <w:color w:val="000000"/>
          <w:sz w:val="32"/>
          <w:szCs w:val="32"/>
        </w:rPr>
        <w:t>产品基本</w:t>
      </w:r>
      <w:r w:rsidR="00B428A8">
        <w:rPr>
          <w:rFonts w:hint="eastAsia"/>
          <w:b/>
          <w:color w:val="000000"/>
          <w:sz w:val="32"/>
          <w:szCs w:val="32"/>
        </w:rPr>
        <w:t>信息</w:t>
      </w:r>
    </w:p>
    <w:tbl>
      <w:tblPr>
        <w:tblpPr w:leftFromText="180" w:rightFromText="180" w:vertAnchor="text" w:horzAnchor="page" w:tblpXSpec="center" w:tblpY="307"/>
        <w:tblOverlap w:val="never"/>
        <w:tblW w:w="8495" w:type="dxa"/>
        <w:jc w:val="center"/>
        <w:tblLook w:val="0000" w:firstRow="0" w:lastRow="0" w:firstColumn="0" w:lastColumn="0" w:noHBand="0" w:noVBand="0"/>
      </w:tblPr>
      <w:tblGrid>
        <w:gridCol w:w="4385"/>
        <w:gridCol w:w="4110"/>
      </w:tblGrid>
      <w:tr w:rsidR="00841835" w:rsidRPr="00001753" w:rsidTr="00001753">
        <w:trPr>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adjustRightInd w:val="0"/>
              <w:snapToGrid w:val="0"/>
              <w:spacing w:line="360" w:lineRule="exact"/>
              <w:rPr>
                <w:sz w:val="20"/>
                <w:szCs w:val="20"/>
              </w:rPr>
            </w:pPr>
            <w:r w:rsidRPr="00845B54">
              <w:rPr>
                <w:rFonts w:hint="eastAsia"/>
                <w:sz w:val="20"/>
                <w:szCs w:val="20"/>
              </w:rPr>
              <w:t>产品名称</w:t>
            </w:r>
          </w:p>
        </w:tc>
        <w:tc>
          <w:tcPr>
            <w:tcW w:w="4110"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pStyle w:val="biaogeleft"/>
              <w:rPr>
                <w:rFonts w:cs="Times New Roman"/>
                <w:sz w:val="20"/>
                <w:szCs w:val="20"/>
              </w:rPr>
            </w:pPr>
            <w:r w:rsidRPr="00845B54">
              <w:rPr>
                <w:rStyle w:val="a8"/>
                <w:rFonts w:hint="eastAsia"/>
                <w:b w:val="0"/>
                <w:sz w:val="20"/>
                <w:szCs w:val="20"/>
              </w:rPr>
              <w:t>家银理财</w:t>
            </w:r>
            <w:r w:rsidRPr="00845B54">
              <w:rPr>
                <w:rStyle w:val="a8"/>
                <w:b w:val="0"/>
                <w:sz w:val="20"/>
                <w:szCs w:val="20"/>
              </w:rPr>
              <w:t>-</w:t>
            </w:r>
            <w:r w:rsidRPr="00845B54">
              <w:rPr>
                <w:rStyle w:val="a8"/>
                <w:rFonts w:hint="eastAsia"/>
                <w:b w:val="0"/>
                <w:sz w:val="20"/>
                <w:szCs w:val="20"/>
              </w:rPr>
              <w:t>好运瑞稳持有期限</w:t>
            </w:r>
            <w:r w:rsidRPr="00845B54">
              <w:rPr>
                <w:rStyle w:val="a8"/>
                <w:b w:val="0"/>
                <w:sz w:val="20"/>
                <w:szCs w:val="20"/>
              </w:rPr>
              <w:t>322</w:t>
            </w:r>
            <w:r w:rsidRPr="00845B54">
              <w:rPr>
                <w:rStyle w:val="a8"/>
                <w:rFonts w:hint="eastAsia"/>
                <w:b w:val="0"/>
                <w:sz w:val="20"/>
                <w:szCs w:val="20"/>
              </w:rPr>
              <w:t>天开放式固定收益类净值型理财产品</w:t>
            </w:r>
          </w:p>
        </w:tc>
      </w:tr>
      <w:tr w:rsidR="00841835" w:rsidRPr="00001753" w:rsidTr="00001753">
        <w:trPr>
          <w:trHeight w:val="612"/>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3F29CF">
            <w:pPr>
              <w:adjustRightInd w:val="0"/>
              <w:snapToGrid w:val="0"/>
              <w:spacing w:line="360" w:lineRule="exact"/>
              <w:rPr>
                <w:sz w:val="20"/>
                <w:szCs w:val="20"/>
              </w:rPr>
            </w:pPr>
            <w:r w:rsidRPr="00845B54">
              <w:rPr>
                <w:rFonts w:hint="eastAsia"/>
                <w:sz w:val="20"/>
                <w:szCs w:val="20"/>
              </w:rPr>
              <w:t>产品代码</w:t>
            </w:r>
          </w:p>
        </w:tc>
        <w:tc>
          <w:tcPr>
            <w:tcW w:w="4110"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pStyle w:val="biaogeleft"/>
              <w:rPr>
                <w:rStyle w:val="a8"/>
                <w:b w:val="0"/>
                <w:sz w:val="20"/>
                <w:szCs w:val="20"/>
              </w:rPr>
            </w:pPr>
            <w:r w:rsidRPr="00845B54">
              <w:rPr>
                <w:rStyle w:val="a8"/>
                <w:b w:val="0"/>
                <w:bCs/>
                <w:sz w:val="20"/>
                <w:szCs w:val="20"/>
              </w:rPr>
              <w:t>HYRW-322</w:t>
            </w:r>
          </w:p>
        </w:tc>
      </w:tr>
      <w:tr w:rsidR="00841835" w:rsidRPr="00001753" w:rsidTr="00001753">
        <w:trPr>
          <w:trHeight w:val="536"/>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adjustRightInd w:val="0"/>
              <w:snapToGrid w:val="0"/>
              <w:spacing w:line="360" w:lineRule="exact"/>
              <w:rPr>
                <w:sz w:val="20"/>
                <w:szCs w:val="20"/>
              </w:rPr>
            </w:pPr>
            <w:r w:rsidRPr="00845B54">
              <w:rPr>
                <w:rFonts w:hint="eastAsia"/>
                <w:color w:val="000000"/>
                <w:sz w:val="20"/>
                <w:szCs w:val="20"/>
              </w:rPr>
              <w:t>登记编码</w:t>
            </w:r>
          </w:p>
        </w:tc>
        <w:tc>
          <w:tcPr>
            <w:tcW w:w="4110"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pStyle w:val="biaogeleft"/>
              <w:rPr>
                <w:rFonts w:cs="Times New Roman"/>
                <w:sz w:val="20"/>
                <w:szCs w:val="20"/>
              </w:rPr>
            </w:pPr>
            <w:r w:rsidRPr="00845B54">
              <w:rPr>
                <w:rStyle w:val="a8"/>
                <w:b w:val="0"/>
                <w:bCs/>
                <w:sz w:val="20"/>
                <w:szCs w:val="20"/>
              </w:rPr>
              <w:t>C1089121000001</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3700F">
            <w:pPr>
              <w:adjustRightInd w:val="0"/>
              <w:snapToGrid w:val="0"/>
              <w:spacing w:line="360" w:lineRule="exact"/>
              <w:rPr>
                <w:color w:val="000000"/>
                <w:sz w:val="20"/>
                <w:szCs w:val="20"/>
              </w:rPr>
            </w:pPr>
            <w:r w:rsidRPr="00845B54">
              <w:rPr>
                <w:rFonts w:hint="eastAsia"/>
                <w:color w:val="000000"/>
                <w:sz w:val="20"/>
                <w:szCs w:val="20"/>
              </w:rPr>
              <w:t>托管机构</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923D62" w:rsidP="0043700F">
            <w:pPr>
              <w:pStyle w:val="biaogeleft"/>
              <w:rPr>
                <w:rStyle w:val="a8"/>
                <w:b w:val="0"/>
                <w:bCs/>
                <w:sz w:val="20"/>
                <w:szCs w:val="20"/>
              </w:rPr>
            </w:pPr>
            <w:r w:rsidRPr="00845B54">
              <w:rPr>
                <w:rStyle w:val="a8"/>
                <w:b w:val="0"/>
                <w:sz w:val="20"/>
                <w:szCs w:val="20"/>
              </w:rPr>
              <w:t>宁波银行股份有限公司</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募集方式</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pStyle w:val="biaogeleft"/>
              <w:rPr>
                <w:sz w:val="20"/>
                <w:szCs w:val="20"/>
              </w:rPr>
            </w:pPr>
            <w:r w:rsidRPr="00845B54">
              <w:rPr>
                <w:sz w:val="20"/>
                <w:szCs w:val="20"/>
              </w:rPr>
              <w:t>公募</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运作模式</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177132" w:rsidP="004C0172">
            <w:pPr>
              <w:pStyle w:val="biaogeleft"/>
              <w:rPr>
                <w:rStyle w:val="a8"/>
                <w:b w:val="0"/>
                <w:bCs/>
                <w:sz w:val="20"/>
                <w:szCs w:val="20"/>
              </w:rPr>
            </w:pPr>
            <w:r w:rsidRPr="00845B54">
              <w:rPr>
                <w:rStyle w:val="a8"/>
                <w:b w:val="0"/>
                <w:bCs/>
                <w:sz w:val="20"/>
                <w:szCs w:val="20"/>
              </w:rPr>
              <w:t>开放式</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风险等级</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pStyle w:val="biaogeleft"/>
              <w:rPr>
                <w:rStyle w:val="a8"/>
                <w:b w:val="0"/>
                <w:bCs/>
                <w:sz w:val="20"/>
                <w:szCs w:val="20"/>
              </w:rPr>
            </w:pPr>
            <w:r w:rsidRPr="00845B54">
              <w:rPr>
                <w:sz w:val="20"/>
                <w:szCs w:val="20"/>
              </w:rPr>
              <w:t>中低风险</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投资性质</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521862" w:rsidP="004C0172">
            <w:pPr>
              <w:pStyle w:val="biaogeleft"/>
              <w:rPr>
                <w:rStyle w:val="a8"/>
                <w:b w:val="0"/>
                <w:bCs/>
                <w:sz w:val="20"/>
                <w:szCs w:val="20"/>
              </w:rPr>
            </w:pPr>
            <w:r w:rsidRPr="00845B54">
              <w:rPr>
                <w:rStyle w:val="a8"/>
                <w:b w:val="0"/>
                <w:bCs/>
                <w:sz w:val="20"/>
                <w:szCs w:val="20"/>
              </w:rPr>
              <w:t>固定收益类</w:t>
            </w:r>
          </w:p>
        </w:tc>
      </w:tr>
      <w:tr w:rsidR="004C0172" w:rsidRPr="00001753" w:rsidTr="00001753">
        <w:trPr>
          <w:trHeight w:val="561"/>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sz w:val="20"/>
                <w:szCs w:val="20"/>
              </w:rPr>
            </w:pPr>
            <w:r w:rsidRPr="00845B54">
              <w:rPr>
                <w:rFonts w:hint="eastAsia"/>
                <w:sz w:val="20"/>
                <w:szCs w:val="20"/>
              </w:rPr>
              <w:t>产品起始日期</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rPr>
                <w:sz w:val="20"/>
                <w:szCs w:val="20"/>
              </w:rPr>
            </w:pPr>
            <w:r w:rsidRPr="00845B54">
              <w:rPr>
                <w:sz w:val="20"/>
                <w:szCs w:val="20"/>
              </w:rPr>
              <w:t>2021年4月20日</w:t>
            </w:r>
          </w:p>
        </w:tc>
      </w:tr>
      <w:tr w:rsidR="004C0172" w:rsidRPr="00001753" w:rsidTr="00001753">
        <w:trPr>
          <w:trHeight w:val="561"/>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sz w:val="20"/>
                <w:szCs w:val="20"/>
              </w:rPr>
            </w:pPr>
            <w:r w:rsidRPr="00845B54">
              <w:rPr>
                <w:rFonts w:hint="eastAsia"/>
                <w:sz w:val="20"/>
                <w:szCs w:val="20"/>
              </w:rPr>
              <w:t>计划终止日期</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ED3E52" w:rsidP="004C0172">
            <w:pPr>
              <w:rPr>
                <w:sz w:val="20"/>
                <w:szCs w:val="20"/>
              </w:rPr>
            </w:pPr>
            <w:r w:rsidRPr="00845B54">
              <w:rPr>
                <w:rFonts w:hint="eastAsia"/>
                <w:sz w:val="20"/>
                <w:szCs w:val="20"/>
              </w:rPr>
              <w:t>长期</w:t>
            </w:r>
          </w:p>
        </w:tc>
      </w:tr>
      <w:tr w:rsidR="004C0172" w:rsidRPr="00001753" w:rsidTr="004C0172">
        <w:trPr>
          <w:trHeight w:val="551"/>
          <w:jc w:val="center"/>
        </w:trPr>
        <w:tc>
          <w:tcPr>
            <w:tcW w:w="4385" w:type="dxa"/>
            <w:tcBorders>
              <w:top w:val="single" w:sz="8" w:space="0" w:color="000000"/>
              <w:left w:val="single" w:sz="8" w:space="0" w:color="000000"/>
              <w:bottom w:val="single" w:sz="8" w:space="0" w:color="000000"/>
              <w:right w:val="single" w:sz="8" w:space="0" w:color="000000"/>
            </w:tcBorders>
            <w:vAlign w:val="center"/>
          </w:tcPr>
          <w:p w:rsidR="004C0172" w:rsidRPr="00845B54" w:rsidRDefault="004C0172" w:rsidP="004C0172">
            <w:pPr>
              <w:adjustRightInd w:val="0"/>
              <w:snapToGrid w:val="0"/>
              <w:spacing w:line="360" w:lineRule="exact"/>
              <w:rPr>
                <w:sz w:val="20"/>
                <w:szCs w:val="20"/>
              </w:rPr>
            </w:pPr>
            <w:r w:rsidRPr="00845B54">
              <w:rPr>
                <w:rFonts w:hint="eastAsia"/>
                <w:sz w:val="20"/>
                <w:szCs w:val="20"/>
              </w:rPr>
              <w:t>业绩比较基准</w:t>
            </w:r>
          </w:p>
        </w:tc>
        <w:tc>
          <w:tcPr>
            <w:tcW w:w="4110" w:type="dxa"/>
            <w:tcBorders>
              <w:top w:val="single" w:sz="8" w:space="0" w:color="000000"/>
              <w:left w:val="single" w:sz="8" w:space="0" w:color="000000"/>
              <w:bottom w:val="single" w:sz="8" w:space="0" w:color="000000"/>
              <w:right w:val="single" w:sz="8" w:space="0" w:color="000000"/>
            </w:tcBorders>
            <w:vAlign w:val="center"/>
          </w:tcPr>
          <w:p w:rsidR="004C0172" w:rsidRPr="00845B54" w:rsidRDefault="004C0172" w:rsidP="00481217">
            <w:pPr>
              <w:rPr>
                <w:sz w:val="20"/>
                <w:szCs w:val="20"/>
              </w:rPr>
            </w:pPr>
            <w:r w:rsidRPr="00845B54">
              <w:rPr>
                <w:sz w:val="20"/>
                <w:szCs w:val="20"/>
              </w:rPr>
              <w:t>1.50</w:t>
            </w:r>
            <w:r w:rsidRPr="00845B54">
              <w:rPr>
                <w:rFonts w:hint="eastAsia"/>
                <w:sz w:val="20"/>
                <w:szCs w:val="20"/>
              </w:rPr>
              <w:t>%-3.</w:t>
            </w:r>
            <w:r w:rsidR="00481217">
              <w:rPr>
                <w:sz w:val="20"/>
                <w:szCs w:val="20"/>
              </w:rPr>
              <w:t>0</w:t>
            </w:r>
            <w:r w:rsidRPr="00845B54">
              <w:rPr>
                <w:sz w:val="20"/>
                <w:szCs w:val="20"/>
              </w:rPr>
              <w:t>0%</w:t>
            </w:r>
          </w:p>
        </w:tc>
      </w:tr>
      <w:tr w:rsidR="004C0172" w:rsidRPr="00001753" w:rsidTr="00177132">
        <w:trPr>
          <w:trHeight w:val="551"/>
          <w:jc w:val="center"/>
        </w:trPr>
        <w:tc>
          <w:tcPr>
            <w:tcW w:w="8495" w:type="dxa"/>
            <w:gridSpan w:val="2"/>
            <w:tcBorders>
              <w:top w:val="single" w:sz="8" w:space="0" w:color="000000"/>
              <w:left w:val="single" w:sz="8" w:space="0" w:color="000000"/>
              <w:bottom w:val="single" w:sz="6" w:space="0" w:color="000000"/>
              <w:right w:val="single" w:sz="8" w:space="0" w:color="000000"/>
            </w:tcBorders>
            <w:vAlign w:val="center"/>
          </w:tcPr>
          <w:p w:rsidR="004C0172" w:rsidRPr="00845B54" w:rsidRDefault="005C5AF7" w:rsidP="004C0172">
            <w:pPr>
              <w:rPr>
                <w:sz w:val="20"/>
                <w:szCs w:val="20"/>
              </w:rPr>
            </w:pPr>
            <w:r w:rsidRPr="00845B54">
              <w:rPr>
                <w:sz w:val="20"/>
                <w:szCs w:val="20"/>
              </w:rPr>
              <w:t>注：</w:t>
            </w:r>
            <w:r w:rsidRPr="00845B54">
              <w:rPr>
                <w:rFonts w:hint="eastAsia"/>
                <w:sz w:val="20"/>
                <w:szCs w:val="20"/>
              </w:rPr>
              <w:t>1</w:t>
            </w:r>
            <w:r w:rsidRPr="00845B54">
              <w:rPr>
                <w:sz w:val="20"/>
                <w:szCs w:val="20"/>
              </w:rPr>
              <w:t>.</w:t>
            </w:r>
            <w:r w:rsidR="00FF4D58" w:rsidRPr="00845B54">
              <w:rPr>
                <w:sz w:val="20"/>
                <w:szCs w:val="20"/>
              </w:rPr>
              <w:t>中国理财网网址为：</w:t>
            </w:r>
            <w:hyperlink r:id="rId8" w:history="1">
              <w:r w:rsidR="00FF4D58" w:rsidRPr="00845B54">
                <w:rPr>
                  <w:rStyle w:val="aa"/>
                  <w:rFonts w:hint="eastAsia"/>
                  <w:sz w:val="20"/>
                  <w:szCs w:val="20"/>
                </w:rPr>
                <w:t>w</w:t>
              </w:r>
              <w:r w:rsidR="00FF4D58" w:rsidRPr="00845B54">
                <w:rPr>
                  <w:rStyle w:val="aa"/>
                  <w:sz w:val="20"/>
                  <w:szCs w:val="20"/>
                </w:rPr>
                <w:t>ww.chinawealth.com.cn</w:t>
              </w:r>
            </w:hyperlink>
            <w:r w:rsidR="00FF4D58" w:rsidRPr="00845B54">
              <w:rPr>
                <w:sz w:val="20"/>
                <w:szCs w:val="20"/>
              </w:rPr>
              <w:t>。</w:t>
            </w:r>
          </w:p>
          <w:p w:rsidR="004C0172" w:rsidRPr="00845B54" w:rsidRDefault="005C5AF7" w:rsidP="00A22049">
            <w:pPr>
              <w:rPr>
                <w:sz w:val="20"/>
                <w:szCs w:val="20"/>
              </w:rPr>
            </w:pPr>
            <w:r w:rsidRPr="00845B54">
              <w:rPr>
                <w:rFonts w:hint="eastAsia"/>
                <w:sz w:val="20"/>
                <w:szCs w:val="20"/>
              </w:rPr>
              <w:t>2</w:t>
            </w:r>
            <w:r w:rsidRPr="00845B54">
              <w:rPr>
                <w:sz w:val="20"/>
                <w:szCs w:val="20"/>
              </w:rPr>
              <w:t>.业绩比较</w:t>
            </w:r>
            <w:r w:rsidR="004F0130" w:rsidRPr="00845B54">
              <w:rPr>
                <w:sz w:val="20"/>
                <w:szCs w:val="20"/>
              </w:rPr>
              <w:t>基准：</w:t>
            </w:r>
            <w:r w:rsidR="004F0130" w:rsidRPr="00845B54">
              <w:rPr>
                <w:rStyle w:val="a8"/>
                <w:rFonts w:ascii="Times New Roman" w:hAnsi="Times New Roman" w:hint="eastAsia"/>
                <w:b w:val="0"/>
                <w:bCs/>
                <w:sz w:val="20"/>
                <w:szCs w:val="20"/>
              </w:rPr>
              <w:t>本</w:t>
            </w:r>
            <w:r w:rsidR="00E06A72"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产品业绩比较基准是</w:t>
            </w:r>
            <w:r w:rsidR="00B75E7E" w:rsidRPr="00845B54">
              <w:rPr>
                <w:rStyle w:val="a8"/>
                <w:rFonts w:ascii="Times New Roman" w:hAnsi="Times New Roman" w:hint="eastAsia"/>
                <w:b w:val="0"/>
                <w:bCs/>
                <w:sz w:val="20"/>
                <w:szCs w:val="20"/>
              </w:rPr>
              <w:t>理财产品</w:t>
            </w:r>
            <w:r w:rsidR="004F0130" w:rsidRPr="00845B54">
              <w:rPr>
                <w:rStyle w:val="a8"/>
                <w:rFonts w:ascii="Times New Roman" w:hAnsi="Times New Roman" w:hint="eastAsia"/>
                <w:b w:val="0"/>
                <w:bCs/>
                <w:sz w:val="20"/>
                <w:szCs w:val="20"/>
              </w:rPr>
              <w:t>管理人基于产品性质、</w:t>
            </w:r>
            <w:r w:rsidR="00A22049">
              <w:rPr>
                <w:rStyle w:val="a8"/>
                <w:rFonts w:ascii="Times New Roman" w:hAnsi="Times New Roman" w:hint="eastAsia"/>
                <w:b w:val="0"/>
                <w:bCs/>
                <w:sz w:val="20"/>
                <w:szCs w:val="20"/>
              </w:rPr>
              <w:t>投资范围、</w:t>
            </w:r>
            <w:r w:rsidR="004F0130" w:rsidRPr="00845B54">
              <w:rPr>
                <w:rStyle w:val="a8"/>
                <w:rFonts w:ascii="Times New Roman" w:hAnsi="Times New Roman" w:hint="eastAsia"/>
                <w:b w:val="0"/>
                <w:bCs/>
                <w:sz w:val="20"/>
                <w:szCs w:val="20"/>
              </w:rPr>
              <w:t>投资策略</w:t>
            </w:r>
            <w:r w:rsidR="00A22049">
              <w:rPr>
                <w:rStyle w:val="a8"/>
                <w:rFonts w:ascii="Times New Roman" w:hAnsi="Times New Roman" w:hint="eastAsia"/>
                <w:b w:val="0"/>
                <w:bCs/>
                <w:sz w:val="20"/>
                <w:szCs w:val="20"/>
              </w:rPr>
              <w:t>，结合市场环境和</w:t>
            </w:r>
            <w:r w:rsidR="004F0130" w:rsidRPr="00845B54">
              <w:rPr>
                <w:rStyle w:val="a8"/>
                <w:rFonts w:ascii="Times New Roman" w:hAnsi="Times New Roman" w:hint="eastAsia"/>
                <w:b w:val="0"/>
                <w:bCs/>
                <w:sz w:val="20"/>
                <w:szCs w:val="20"/>
              </w:rPr>
              <w:t>过往经验等因素对</w:t>
            </w:r>
            <w:r w:rsidR="00441A9B"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产品设定的投资目标，不代表</w:t>
            </w:r>
            <w:r w:rsidR="00CB06F5"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产品的未来表现和实际收益，也不构成对</w:t>
            </w:r>
            <w:r w:rsidR="00CB06F5"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产品收益的承诺，仅供客户参考。</w:t>
            </w:r>
          </w:p>
        </w:tc>
      </w:tr>
    </w:tbl>
    <w:p w:rsidR="00526EF6" w:rsidRDefault="00F81219" w:rsidP="000D2529">
      <w:pPr>
        <w:spacing w:before="120" w:after="120"/>
        <w:ind w:firstLineChars="200" w:firstLine="643"/>
        <w:rPr>
          <w:b/>
          <w:color w:val="000000"/>
          <w:sz w:val="32"/>
          <w:szCs w:val="32"/>
        </w:rPr>
      </w:pPr>
      <w:r w:rsidRPr="00F81219">
        <w:rPr>
          <w:b/>
          <w:color w:val="000000"/>
          <w:sz w:val="32"/>
          <w:szCs w:val="32"/>
        </w:rPr>
        <w:t>二</w:t>
      </w:r>
      <w:r>
        <w:rPr>
          <w:rFonts w:hint="eastAsia"/>
          <w:b/>
          <w:color w:val="000000"/>
          <w:sz w:val="32"/>
          <w:szCs w:val="32"/>
        </w:rPr>
        <w:t>、理财产品净值、存续规模和收益表现</w:t>
      </w:r>
    </w:p>
    <w:p w:rsidR="003D5397" w:rsidRPr="003D5397" w:rsidRDefault="003D5397" w:rsidP="003D5397">
      <w:pPr>
        <w:spacing w:before="120" w:after="120"/>
        <w:ind w:firstLineChars="200" w:firstLine="360"/>
        <w:jc w:val="right"/>
        <w:rPr>
          <w:color w:val="000000"/>
          <w:sz w:val="18"/>
          <w:szCs w:val="18"/>
        </w:rPr>
      </w:pPr>
      <w:r w:rsidRPr="003D5397">
        <w:rPr>
          <w:color w:val="000000"/>
          <w:sz w:val="18"/>
          <w:szCs w:val="18"/>
        </w:rPr>
        <w:t>单位：人民币（CNY）</w:t>
      </w:r>
    </w:p>
    <w:tbl>
      <w:tblPr>
        <w:tblW w:w="8217" w:type="dxa"/>
        <w:tblInd w:w="113" w:type="dxa"/>
        <w:tblLayout w:type="fixed"/>
        <w:tblLook w:val="04A0" w:firstRow="1" w:lastRow="0" w:firstColumn="1" w:lastColumn="0" w:noHBand="0" w:noVBand="1"/>
      </w:tblPr>
      <w:tblGrid>
        <w:gridCol w:w="1080"/>
        <w:gridCol w:w="1042"/>
        <w:gridCol w:w="1134"/>
        <w:gridCol w:w="1275"/>
        <w:gridCol w:w="1276"/>
        <w:gridCol w:w="1276"/>
        <w:gridCol w:w="1134"/>
      </w:tblGrid>
      <w:tr w:rsidR="00CF00D5" w:rsidRPr="00CF00D5" w:rsidTr="008A55DB">
        <w:trPr>
          <w:trHeight w:val="345"/>
        </w:trPr>
        <w:tc>
          <w:tcPr>
            <w:tcW w:w="580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F00D5" w:rsidRPr="00CF00D5" w:rsidRDefault="00CF00D5" w:rsidP="00CF00D5">
            <w:pPr>
              <w:rPr>
                <w:sz w:val="20"/>
                <w:szCs w:val="20"/>
              </w:rPr>
            </w:pPr>
            <w:r w:rsidRPr="00CF00D5">
              <w:rPr>
                <w:rFonts w:hint="eastAsia"/>
                <w:sz w:val="20"/>
                <w:szCs w:val="20"/>
              </w:rPr>
              <w:t>时点指标</w:t>
            </w:r>
          </w:p>
        </w:tc>
        <w:tc>
          <w:tcPr>
            <w:tcW w:w="241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CF00D5" w:rsidRPr="00CF00D5" w:rsidRDefault="00CF00D5" w:rsidP="00CF00D5">
            <w:pPr>
              <w:rPr>
                <w:sz w:val="20"/>
                <w:szCs w:val="20"/>
              </w:rPr>
            </w:pPr>
            <w:r w:rsidRPr="00CF00D5">
              <w:rPr>
                <w:rFonts w:hint="eastAsia"/>
                <w:sz w:val="20"/>
                <w:szCs w:val="20"/>
              </w:rPr>
              <w:t>区间指标</w:t>
            </w:r>
          </w:p>
        </w:tc>
      </w:tr>
      <w:tr w:rsidR="008A55DB" w:rsidRPr="00CF00D5" w:rsidTr="008A55DB">
        <w:trPr>
          <w:trHeight w:val="54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 xml:space="preserve">　</w:t>
            </w:r>
          </w:p>
        </w:tc>
        <w:tc>
          <w:tcPr>
            <w:tcW w:w="1042"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份额净值（元）</w:t>
            </w:r>
          </w:p>
        </w:tc>
        <w:tc>
          <w:tcPr>
            <w:tcW w:w="1134"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累计净值（元）</w:t>
            </w:r>
          </w:p>
        </w:tc>
        <w:tc>
          <w:tcPr>
            <w:tcW w:w="1275"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份额总数                （万份）</w:t>
            </w:r>
          </w:p>
        </w:tc>
        <w:tc>
          <w:tcPr>
            <w:tcW w:w="1276"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资产净值            （万元）</w:t>
            </w:r>
          </w:p>
        </w:tc>
        <w:tc>
          <w:tcPr>
            <w:tcW w:w="1276"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累计净值增长率（%）</w:t>
            </w:r>
          </w:p>
        </w:tc>
      </w:tr>
      <w:tr w:rsidR="00C27BA4" w:rsidRPr="00CF00D5" w:rsidTr="004B16CD">
        <w:trPr>
          <w:trHeight w:val="330"/>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报告期末</w:t>
            </w:r>
          </w:p>
        </w:tc>
        <w:tc>
          <w:tcPr>
            <w:tcW w:w="10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1.1714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1.1714 </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80,899.36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94,770.92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w:t>
            </w:r>
          </w:p>
        </w:tc>
      </w:tr>
      <w:tr w:rsidR="00C27BA4" w:rsidRPr="00CF00D5" w:rsidTr="00E90150">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三个月前</w:t>
            </w:r>
          </w:p>
        </w:tc>
        <w:tc>
          <w:tcPr>
            <w:tcW w:w="1042" w:type="dxa"/>
            <w:tcBorders>
              <w:top w:val="nil"/>
              <w:left w:val="single" w:sz="4" w:space="0" w:color="auto"/>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1.1640 </w:t>
            </w:r>
          </w:p>
        </w:tc>
        <w:tc>
          <w:tcPr>
            <w:tcW w:w="1134"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1.1640 </w:t>
            </w:r>
          </w:p>
        </w:tc>
        <w:tc>
          <w:tcPr>
            <w:tcW w:w="1275"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114,528.54 </w:t>
            </w:r>
          </w:p>
        </w:tc>
        <w:tc>
          <w:tcPr>
            <w:tcW w:w="1276"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133,314.77 </w:t>
            </w:r>
          </w:p>
        </w:tc>
        <w:tc>
          <w:tcPr>
            <w:tcW w:w="1276" w:type="dxa"/>
            <w:tcBorders>
              <w:top w:val="nil"/>
              <w:left w:val="nil"/>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过去三个月</w:t>
            </w:r>
          </w:p>
        </w:tc>
        <w:tc>
          <w:tcPr>
            <w:tcW w:w="1134"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0.64%</w:t>
            </w:r>
          </w:p>
        </w:tc>
      </w:tr>
      <w:tr w:rsidR="00C27BA4" w:rsidRPr="00CF00D5" w:rsidTr="00E90150">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六个月前</w:t>
            </w:r>
          </w:p>
        </w:tc>
        <w:tc>
          <w:tcPr>
            <w:tcW w:w="1042" w:type="dxa"/>
            <w:tcBorders>
              <w:top w:val="nil"/>
              <w:left w:val="single" w:sz="4" w:space="0" w:color="auto"/>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1.1625 </w:t>
            </w:r>
          </w:p>
        </w:tc>
        <w:tc>
          <w:tcPr>
            <w:tcW w:w="1134"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1.1625 </w:t>
            </w:r>
          </w:p>
        </w:tc>
        <w:tc>
          <w:tcPr>
            <w:tcW w:w="1275"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127,846.85 </w:t>
            </w:r>
          </w:p>
        </w:tc>
        <w:tc>
          <w:tcPr>
            <w:tcW w:w="1276"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148,630.78 </w:t>
            </w:r>
          </w:p>
        </w:tc>
        <w:tc>
          <w:tcPr>
            <w:tcW w:w="1276" w:type="dxa"/>
            <w:tcBorders>
              <w:top w:val="nil"/>
              <w:left w:val="nil"/>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过去六个月</w:t>
            </w:r>
          </w:p>
        </w:tc>
        <w:tc>
          <w:tcPr>
            <w:tcW w:w="1134"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0.77%</w:t>
            </w:r>
          </w:p>
        </w:tc>
      </w:tr>
      <w:tr w:rsidR="00C27BA4" w:rsidRPr="00CF00D5" w:rsidTr="00E90150">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九个月前</w:t>
            </w:r>
          </w:p>
        </w:tc>
        <w:tc>
          <w:tcPr>
            <w:tcW w:w="1042" w:type="dxa"/>
            <w:tcBorders>
              <w:top w:val="nil"/>
              <w:left w:val="single" w:sz="4" w:space="0" w:color="auto"/>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1.1515 </w:t>
            </w:r>
          </w:p>
        </w:tc>
        <w:tc>
          <w:tcPr>
            <w:tcW w:w="1134"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1.1515 </w:t>
            </w:r>
          </w:p>
        </w:tc>
        <w:tc>
          <w:tcPr>
            <w:tcW w:w="1275"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163,451.57 </w:t>
            </w:r>
          </w:p>
        </w:tc>
        <w:tc>
          <w:tcPr>
            <w:tcW w:w="1276"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188,226.45 </w:t>
            </w:r>
          </w:p>
        </w:tc>
        <w:tc>
          <w:tcPr>
            <w:tcW w:w="1276" w:type="dxa"/>
            <w:tcBorders>
              <w:top w:val="nil"/>
              <w:left w:val="nil"/>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过去九个月</w:t>
            </w:r>
          </w:p>
        </w:tc>
        <w:tc>
          <w:tcPr>
            <w:tcW w:w="1134"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1.73%</w:t>
            </w:r>
          </w:p>
        </w:tc>
      </w:tr>
      <w:tr w:rsidR="00C27BA4" w:rsidRPr="00CF00D5" w:rsidTr="00E90150">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一年前</w:t>
            </w:r>
          </w:p>
        </w:tc>
        <w:tc>
          <w:tcPr>
            <w:tcW w:w="1042" w:type="dxa"/>
            <w:tcBorders>
              <w:top w:val="nil"/>
              <w:left w:val="single" w:sz="4" w:space="0" w:color="auto"/>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1.1501 </w:t>
            </w:r>
          </w:p>
        </w:tc>
        <w:tc>
          <w:tcPr>
            <w:tcW w:w="1134"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1.1501 </w:t>
            </w:r>
          </w:p>
        </w:tc>
        <w:tc>
          <w:tcPr>
            <w:tcW w:w="1275"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207,286.36 </w:t>
            </w:r>
          </w:p>
        </w:tc>
        <w:tc>
          <w:tcPr>
            <w:tcW w:w="1276"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 xml:space="preserve">238,419.97 </w:t>
            </w:r>
          </w:p>
        </w:tc>
        <w:tc>
          <w:tcPr>
            <w:tcW w:w="1276" w:type="dxa"/>
            <w:tcBorders>
              <w:top w:val="nil"/>
              <w:left w:val="nil"/>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过去一年</w:t>
            </w:r>
          </w:p>
        </w:tc>
        <w:tc>
          <w:tcPr>
            <w:tcW w:w="1134"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1.85%</w:t>
            </w:r>
          </w:p>
        </w:tc>
      </w:tr>
      <w:tr w:rsidR="00C27BA4" w:rsidRPr="00CF00D5" w:rsidTr="00E90150">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w:t>
            </w:r>
          </w:p>
        </w:tc>
        <w:tc>
          <w:tcPr>
            <w:tcW w:w="1042" w:type="dxa"/>
            <w:tcBorders>
              <w:top w:val="nil"/>
              <w:left w:val="single" w:sz="4" w:space="0" w:color="auto"/>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w:t>
            </w:r>
          </w:p>
        </w:tc>
        <w:tc>
          <w:tcPr>
            <w:tcW w:w="1275" w:type="dxa"/>
            <w:tcBorders>
              <w:top w:val="nil"/>
              <w:left w:val="nil"/>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w:t>
            </w:r>
          </w:p>
        </w:tc>
        <w:tc>
          <w:tcPr>
            <w:tcW w:w="1276" w:type="dxa"/>
            <w:tcBorders>
              <w:top w:val="nil"/>
              <w:left w:val="nil"/>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w:t>
            </w:r>
          </w:p>
        </w:tc>
        <w:tc>
          <w:tcPr>
            <w:tcW w:w="1276" w:type="dxa"/>
            <w:tcBorders>
              <w:top w:val="nil"/>
              <w:left w:val="nil"/>
              <w:bottom w:val="single" w:sz="4" w:space="0" w:color="auto"/>
              <w:right w:val="single" w:sz="4" w:space="0" w:color="auto"/>
            </w:tcBorders>
            <w:shd w:val="clear" w:color="auto" w:fill="auto"/>
            <w:vAlign w:val="center"/>
            <w:hideMark/>
          </w:tcPr>
          <w:p w:rsidR="00C27BA4" w:rsidRDefault="00C27BA4" w:rsidP="00C27BA4">
            <w:pPr>
              <w:rPr>
                <w:sz w:val="20"/>
                <w:szCs w:val="20"/>
              </w:rPr>
            </w:pPr>
            <w:r>
              <w:rPr>
                <w:rFonts w:hint="eastAsia"/>
                <w:sz w:val="20"/>
                <w:szCs w:val="20"/>
              </w:rPr>
              <w:t>成立至今</w:t>
            </w:r>
          </w:p>
        </w:tc>
        <w:tc>
          <w:tcPr>
            <w:tcW w:w="1134" w:type="dxa"/>
            <w:tcBorders>
              <w:top w:val="nil"/>
              <w:left w:val="nil"/>
              <w:bottom w:val="single" w:sz="4" w:space="0" w:color="auto"/>
              <w:right w:val="single" w:sz="4" w:space="0" w:color="auto"/>
            </w:tcBorders>
            <w:shd w:val="clear" w:color="auto" w:fill="auto"/>
            <w:vAlign w:val="center"/>
            <w:hideMark/>
          </w:tcPr>
          <w:p w:rsidR="00C27BA4" w:rsidRDefault="00C27BA4" w:rsidP="00C27BA4">
            <w:pPr>
              <w:jc w:val="center"/>
              <w:rPr>
                <w:sz w:val="20"/>
                <w:szCs w:val="20"/>
              </w:rPr>
            </w:pPr>
            <w:r>
              <w:rPr>
                <w:rFonts w:hint="eastAsia"/>
                <w:sz w:val="20"/>
                <w:szCs w:val="20"/>
              </w:rPr>
              <w:t>17.14%</w:t>
            </w:r>
          </w:p>
        </w:tc>
      </w:tr>
    </w:tbl>
    <w:p w:rsidR="005B311E" w:rsidRDefault="00F40418" w:rsidP="00F40418">
      <w:pPr>
        <w:tabs>
          <w:tab w:val="left" w:pos="1935"/>
        </w:tabs>
        <w:spacing w:before="120" w:after="120"/>
        <w:ind w:firstLineChars="200" w:firstLine="643"/>
        <w:rPr>
          <w:b/>
          <w:color w:val="000000"/>
          <w:sz w:val="32"/>
          <w:szCs w:val="32"/>
        </w:rPr>
      </w:pPr>
      <w:r>
        <w:rPr>
          <w:b/>
          <w:color w:val="000000"/>
          <w:sz w:val="32"/>
          <w:szCs w:val="32"/>
        </w:rPr>
        <w:tab/>
      </w:r>
    </w:p>
    <w:p w:rsidR="00CE332B" w:rsidRDefault="00CE332B" w:rsidP="000D2529">
      <w:pPr>
        <w:spacing w:before="120" w:after="120"/>
        <w:ind w:firstLineChars="200" w:firstLine="643"/>
        <w:rPr>
          <w:b/>
          <w:color w:val="000000"/>
          <w:sz w:val="32"/>
          <w:szCs w:val="32"/>
        </w:rPr>
      </w:pPr>
      <w:r w:rsidRPr="00B86BA8">
        <w:rPr>
          <w:rFonts w:hint="eastAsia"/>
          <w:b/>
          <w:color w:val="000000"/>
          <w:sz w:val="32"/>
          <w:szCs w:val="32"/>
        </w:rPr>
        <w:lastRenderedPageBreak/>
        <w:t>三、投资策略</w:t>
      </w:r>
      <w:r w:rsidR="00F64482" w:rsidRPr="00B86BA8">
        <w:rPr>
          <w:rFonts w:hint="eastAsia"/>
          <w:b/>
          <w:color w:val="000000"/>
          <w:sz w:val="32"/>
          <w:szCs w:val="32"/>
        </w:rPr>
        <w:t>、未来展望以及产品</w:t>
      </w:r>
      <w:r w:rsidR="00745056" w:rsidRPr="00B86BA8">
        <w:rPr>
          <w:rFonts w:hint="eastAsia"/>
          <w:b/>
          <w:color w:val="000000"/>
          <w:sz w:val="32"/>
          <w:szCs w:val="32"/>
        </w:rPr>
        <w:t>运作</w:t>
      </w:r>
      <w:r w:rsidR="00F64482" w:rsidRPr="00B86BA8">
        <w:rPr>
          <w:rFonts w:hint="eastAsia"/>
          <w:b/>
          <w:color w:val="000000"/>
          <w:sz w:val="32"/>
          <w:szCs w:val="32"/>
        </w:rPr>
        <w:t>遵规守信情况</w:t>
      </w:r>
    </w:p>
    <w:p w:rsidR="00B86BA8" w:rsidRPr="0082146B" w:rsidRDefault="00A33BC2" w:rsidP="00551B68">
      <w:pPr>
        <w:pStyle w:val="a6"/>
        <w:shd w:val="clear" w:color="auto" w:fill="FFFFFF"/>
        <w:spacing w:before="0" w:beforeAutospacing="0" w:after="0" w:afterAutospacing="0" w:line="480" w:lineRule="atLeast"/>
        <w:ind w:left="150" w:right="150" w:firstLineChars="200" w:firstLine="640"/>
        <w:jc w:val="both"/>
        <w:rPr>
          <w:color w:val="000000"/>
          <w:sz w:val="32"/>
          <w:szCs w:val="32"/>
        </w:rPr>
      </w:pPr>
      <w:bookmarkStart w:id="0" w:name="OLE_LINK3"/>
      <w:r w:rsidRPr="00A33BC2">
        <w:rPr>
          <w:color w:val="000000"/>
          <w:sz w:val="32"/>
          <w:szCs w:val="32"/>
        </w:rPr>
        <w:t>2025年</w:t>
      </w:r>
      <w:r>
        <w:rPr>
          <w:color w:val="000000"/>
          <w:sz w:val="32"/>
          <w:szCs w:val="32"/>
        </w:rPr>
        <w:t>度</w:t>
      </w:r>
      <w:r w:rsidRPr="00A33BC2">
        <w:rPr>
          <w:color w:val="000000"/>
          <w:sz w:val="32"/>
          <w:szCs w:val="32"/>
        </w:rPr>
        <w:t>，随着宏观政策效应持续释放，国内经济内生动能稳步增强，基本面呈现稳中有进、结构优化的态势。市场利率在政策利率保持稳定、信贷结构持续调整与财政发力支撑下中枢趋稳，债券市场整体步入震荡格局，</w:t>
      </w:r>
      <w:bookmarkStart w:id="1" w:name="_GoBack"/>
      <w:bookmarkEnd w:id="1"/>
      <w:r w:rsidRPr="00A33BC2">
        <w:rPr>
          <w:color w:val="000000"/>
          <w:sz w:val="32"/>
          <w:szCs w:val="32"/>
        </w:rPr>
        <w:t>全年波动幅度收窄，反映市场对“宽财政、稳货币”格局的持续定价。</w:t>
      </w:r>
      <w:r w:rsidR="009537EF" w:rsidRPr="0082146B">
        <w:rPr>
          <w:color w:val="000000"/>
          <w:sz w:val="32"/>
          <w:szCs w:val="32"/>
        </w:rPr>
        <w:t>报告期内，</w:t>
      </w:r>
      <w:r w:rsidR="009537EF" w:rsidRPr="0082146B">
        <w:rPr>
          <w:rFonts w:hint="eastAsia"/>
          <w:color w:val="000000"/>
          <w:sz w:val="32"/>
          <w:szCs w:val="32"/>
        </w:rPr>
        <w:t>本理财产品优选投资标的，主要以配置</w:t>
      </w:r>
      <w:r w:rsidR="005876F3" w:rsidRPr="0082146B">
        <w:rPr>
          <w:rFonts w:hint="eastAsia"/>
          <w:color w:val="000000"/>
          <w:sz w:val="32"/>
          <w:szCs w:val="32"/>
        </w:rPr>
        <w:t>金融机构资本债</w:t>
      </w:r>
      <w:r w:rsidR="00355EC7" w:rsidRPr="0082146B">
        <w:rPr>
          <w:rFonts w:hint="eastAsia"/>
          <w:color w:val="000000"/>
          <w:sz w:val="32"/>
          <w:szCs w:val="32"/>
        </w:rPr>
        <w:t>、</w:t>
      </w:r>
      <w:r w:rsidR="009537EF" w:rsidRPr="0082146B">
        <w:rPr>
          <w:rFonts w:hint="eastAsia"/>
          <w:color w:val="000000"/>
          <w:sz w:val="32"/>
          <w:szCs w:val="32"/>
        </w:rPr>
        <w:t>中高等级</w:t>
      </w:r>
      <w:r w:rsidR="00642672" w:rsidRPr="0082146B">
        <w:rPr>
          <w:rFonts w:hint="eastAsia"/>
          <w:color w:val="000000"/>
          <w:sz w:val="32"/>
          <w:szCs w:val="32"/>
        </w:rPr>
        <w:t>产业债</w:t>
      </w:r>
      <w:r w:rsidR="00642672">
        <w:rPr>
          <w:rFonts w:hint="eastAsia"/>
          <w:color w:val="000000"/>
          <w:sz w:val="32"/>
          <w:szCs w:val="32"/>
        </w:rPr>
        <w:t>和</w:t>
      </w:r>
      <w:r w:rsidR="009537EF" w:rsidRPr="0082146B">
        <w:rPr>
          <w:rFonts w:hint="eastAsia"/>
          <w:color w:val="000000"/>
          <w:sz w:val="32"/>
          <w:szCs w:val="32"/>
        </w:rPr>
        <w:t>城投债为主。总体来看</w:t>
      </w:r>
      <w:r w:rsidR="005876F3" w:rsidRPr="0082146B">
        <w:rPr>
          <w:rFonts w:hint="eastAsia"/>
          <w:color w:val="000000"/>
          <w:sz w:val="32"/>
          <w:szCs w:val="32"/>
        </w:rPr>
        <w:t>，</w:t>
      </w:r>
      <w:r w:rsidR="009537EF" w:rsidRPr="0082146B">
        <w:rPr>
          <w:rFonts w:hint="eastAsia"/>
          <w:color w:val="000000"/>
          <w:sz w:val="32"/>
          <w:szCs w:val="32"/>
        </w:rPr>
        <w:t>产品组合</w:t>
      </w:r>
      <w:r w:rsidR="005B484A" w:rsidRPr="0082146B">
        <w:rPr>
          <w:rFonts w:hint="eastAsia"/>
          <w:color w:val="000000"/>
          <w:sz w:val="32"/>
          <w:szCs w:val="32"/>
        </w:rPr>
        <w:t>久期适中，</w:t>
      </w:r>
      <w:r w:rsidR="009537EF" w:rsidRPr="0082146B">
        <w:rPr>
          <w:color w:val="000000"/>
          <w:sz w:val="32"/>
          <w:szCs w:val="32"/>
        </w:rPr>
        <w:t>投资策略稳健。</w:t>
      </w:r>
    </w:p>
    <w:p w:rsidR="00AC4304" w:rsidRDefault="00FA2B5A" w:rsidP="00AC4304">
      <w:pPr>
        <w:pStyle w:val="a6"/>
        <w:shd w:val="clear" w:color="auto" w:fill="FFFFFF"/>
        <w:spacing w:before="0" w:beforeAutospacing="0" w:after="0" w:afterAutospacing="0" w:line="480" w:lineRule="atLeast"/>
        <w:ind w:left="150" w:right="150" w:firstLineChars="200" w:firstLine="640"/>
        <w:jc w:val="both"/>
        <w:rPr>
          <w:color w:val="000000"/>
          <w:sz w:val="32"/>
          <w:szCs w:val="32"/>
        </w:rPr>
      </w:pPr>
      <w:bookmarkStart w:id="2" w:name="OLE_LINK1"/>
      <w:bookmarkStart w:id="3" w:name="OLE_LINK2"/>
      <w:r w:rsidRPr="00FA2B5A">
        <w:rPr>
          <w:color w:val="000000"/>
          <w:sz w:val="32"/>
          <w:szCs w:val="32"/>
        </w:rPr>
        <w:t>2026年一季度</w:t>
      </w:r>
      <w:r>
        <w:rPr>
          <w:color w:val="000000"/>
          <w:sz w:val="32"/>
          <w:szCs w:val="32"/>
        </w:rPr>
        <w:t>，</w:t>
      </w:r>
      <w:r w:rsidRPr="00FA2B5A">
        <w:rPr>
          <w:color w:val="000000"/>
          <w:sz w:val="32"/>
          <w:szCs w:val="32"/>
        </w:rPr>
        <w:t>债市在央行延续“适度宽松”货币政策、政策利率存在1-2次降息预期、财政靠前发力推动地方债大规模发行等多重因素交织影响下，预计将呈现“前弱后强”震荡格局。利率债受益于降息预期与配置需求回暖，短端收益率下行空间更明确；信用债在二永债补涨及城投利差修复支撑下具备结构性机会</w:t>
      </w:r>
      <w:r w:rsidR="004206C1" w:rsidRPr="00FA2B5A">
        <w:rPr>
          <w:rFonts w:hint="eastAsia"/>
          <w:color w:val="000000"/>
          <w:sz w:val="32"/>
          <w:szCs w:val="32"/>
        </w:rPr>
        <w:t>。</w:t>
      </w:r>
      <w:r w:rsidR="009537EF" w:rsidRPr="0082146B">
        <w:rPr>
          <w:color w:val="000000"/>
          <w:sz w:val="32"/>
          <w:szCs w:val="32"/>
        </w:rPr>
        <w:t>报告期内，产品管理人坚持合规经营与诚信原则，严格遵守金融法规，执行内控机制，确保每一笔交易合法合规</w:t>
      </w:r>
      <w:r w:rsidR="009537EF" w:rsidRPr="0082146B">
        <w:rPr>
          <w:rFonts w:hint="eastAsia"/>
          <w:color w:val="000000"/>
          <w:sz w:val="32"/>
          <w:szCs w:val="32"/>
        </w:rPr>
        <w:t>。</w:t>
      </w:r>
      <w:bookmarkEnd w:id="0"/>
      <w:bookmarkEnd w:id="2"/>
      <w:bookmarkEnd w:id="3"/>
      <w:r w:rsidR="00AC4304">
        <w:rPr>
          <w:rFonts w:hint="eastAsia"/>
          <w:color w:val="000000"/>
          <w:sz w:val="32"/>
          <w:szCs w:val="32"/>
        </w:rPr>
        <w:t xml:space="preserve"> </w:t>
      </w:r>
    </w:p>
    <w:p w:rsidR="003B709A" w:rsidRDefault="009A54C8" w:rsidP="000D2529">
      <w:pPr>
        <w:spacing w:before="120" w:after="120"/>
        <w:ind w:firstLineChars="200" w:firstLine="643"/>
        <w:rPr>
          <w:b/>
          <w:color w:val="000000"/>
          <w:sz w:val="32"/>
          <w:szCs w:val="32"/>
        </w:rPr>
      </w:pPr>
      <w:r>
        <w:rPr>
          <w:rFonts w:hint="eastAsia"/>
          <w:b/>
          <w:color w:val="000000"/>
          <w:sz w:val="32"/>
          <w:szCs w:val="32"/>
        </w:rPr>
        <w:t>四、</w:t>
      </w:r>
      <w:r w:rsidR="003B709A">
        <w:rPr>
          <w:b/>
          <w:color w:val="000000"/>
          <w:sz w:val="32"/>
          <w:szCs w:val="32"/>
        </w:rPr>
        <w:t>期末理财产品持有资产情况</w:t>
      </w:r>
    </w:p>
    <w:tbl>
      <w:tblPr>
        <w:tblW w:w="9073" w:type="dxa"/>
        <w:jc w:val="center"/>
        <w:tblLook w:val="04A0" w:firstRow="1" w:lastRow="0" w:firstColumn="1" w:lastColumn="0" w:noHBand="0" w:noVBand="1"/>
      </w:tblPr>
      <w:tblGrid>
        <w:gridCol w:w="710"/>
        <w:gridCol w:w="3118"/>
        <w:gridCol w:w="2693"/>
        <w:gridCol w:w="2552"/>
      </w:tblGrid>
      <w:tr w:rsidR="003B709A" w:rsidRPr="00AB51D9" w:rsidTr="009B2DDB">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序号</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资产类别</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穿透前占总资产的比例（%）</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穿透后占总资产的比例（%）</w:t>
            </w:r>
          </w:p>
        </w:tc>
      </w:tr>
      <w:tr w:rsidR="003848B0"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48B0" w:rsidRDefault="003848B0" w:rsidP="003848B0">
            <w:pPr>
              <w:jc w:val="center"/>
              <w:rPr>
                <w:sz w:val="20"/>
                <w:szCs w:val="20"/>
              </w:rPr>
            </w:pPr>
            <w:bookmarkStart w:id="4" w:name="_Hlk202450580"/>
            <w:r>
              <w:rPr>
                <w:rFonts w:hint="eastAsia"/>
                <w:sz w:val="20"/>
                <w:szCs w:val="20"/>
              </w:rPr>
              <w:t>1</w:t>
            </w:r>
          </w:p>
        </w:tc>
        <w:tc>
          <w:tcPr>
            <w:tcW w:w="3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848B0" w:rsidRDefault="003848B0" w:rsidP="003848B0">
            <w:pPr>
              <w:rPr>
                <w:sz w:val="20"/>
                <w:szCs w:val="20"/>
              </w:rPr>
            </w:pPr>
            <w:r>
              <w:rPr>
                <w:rFonts w:hint="eastAsia"/>
                <w:sz w:val="20"/>
                <w:szCs w:val="20"/>
              </w:rPr>
              <w:t>现金及银行存款</w:t>
            </w:r>
          </w:p>
        </w:tc>
        <w:tc>
          <w:tcPr>
            <w:tcW w:w="2693" w:type="dxa"/>
            <w:tcBorders>
              <w:top w:val="single" w:sz="4" w:space="0" w:color="auto"/>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0.35%</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0.37%</w:t>
            </w:r>
          </w:p>
        </w:tc>
      </w:tr>
      <w:tr w:rsidR="003848B0"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48B0" w:rsidRDefault="003848B0" w:rsidP="003848B0">
            <w:pPr>
              <w:jc w:val="center"/>
              <w:rPr>
                <w:sz w:val="20"/>
                <w:szCs w:val="20"/>
              </w:rPr>
            </w:pPr>
            <w:r>
              <w:rPr>
                <w:rFonts w:hint="eastAsia"/>
                <w:sz w:val="20"/>
                <w:szCs w:val="20"/>
              </w:rPr>
              <w:t>2</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3848B0" w:rsidRDefault="003848B0" w:rsidP="003848B0">
            <w:pPr>
              <w:rPr>
                <w:sz w:val="20"/>
                <w:szCs w:val="20"/>
              </w:rPr>
            </w:pPr>
            <w:r>
              <w:rPr>
                <w:rFonts w:hint="eastAsia"/>
                <w:sz w:val="20"/>
                <w:szCs w:val="20"/>
              </w:rPr>
              <w:t>同业存单</w:t>
            </w:r>
          </w:p>
        </w:tc>
        <w:tc>
          <w:tcPr>
            <w:tcW w:w="2693" w:type="dxa"/>
            <w:tcBorders>
              <w:top w:val="nil"/>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0.00%</w:t>
            </w:r>
          </w:p>
        </w:tc>
      </w:tr>
      <w:tr w:rsidR="003848B0"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48B0" w:rsidRDefault="003848B0" w:rsidP="003848B0">
            <w:pPr>
              <w:jc w:val="center"/>
              <w:rPr>
                <w:sz w:val="20"/>
                <w:szCs w:val="20"/>
              </w:rPr>
            </w:pPr>
            <w:r>
              <w:rPr>
                <w:rFonts w:hint="eastAsia"/>
                <w:sz w:val="20"/>
                <w:szCs w:val="20"/>
              </w:rPr>
              <w:t>3</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3848B0" w:rsidRDefault="003848B0" w:rsidP="003848B0">
            <w:pPr>
              <w:rPr>
                <w:sz w:val="20"/>
                <w:szCs w:val="20"/>
              </w:rPr>
            </w:pPr>
            <w:r>
              <w:rPr>
                <w:rFonts w:hint="eastAsia"/>
                <w:sz w:val="20"/>
                <w:szCs w:val="20"/>
              </w:rPr>
              <w:t>拆放同业及债券买入返售</w:t>
            </w:r>
          </w:p>
        </w:tc>
        <w:tc>
          <w:tcPr>
            <w:tcW w:w="2693" w:type="dxa"/>
            <w:tcBorders>
              <w:top w:val="nil"/>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0.00%</w:t>
            </w:r>
          </w:p>
        </w:tc>
      </w:tr>
      <w:tr w:rsidR="003848B0" w:rsidRPr="00AB51D9" w:rsidTr="00691202">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48B0" w:rsidRDefault="003848B0" w:rsidP="003848B0">
            <w:pPr>
              <w:jc w:val="center"/>
              <w:rPr>
                <w:sz w:val="20"/>
                <w:szCs w:val="20"/>
              </w:rPr>
            </w:pPr>
            <w:r>
              <w:rPr>
                <w:rFonts w:hint="eastAsia"/>
                <w:sz w:val="20"/>
                <w:szCs w:val="20"/>
              </w:rPr>
              <w:t>4</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3848B0" w:rsidRDefault="003848B0" w:rsidP="003848B0">
            <w:pPr>
              <w:rPr>
                <w:sz w:val="20"/>
                <w:szCs w:val="20"/>
              </w:rPr>
            </w:pPr>
            <w:r>
              <w:rPr>
                <w:rFonts w:hint="eastAsia"/>
                <w:sz w:val="20"/>
                <w:szCs w:val="20"/>
              </w:rPr>
              <w:t>债券</w:t>
            </w:r>
          </w:p>
        </w:tc>
        <w:tc>
          <w:tcPr>
            <w:tcW w:w="2693" w:type="dxa"/>
            <w:tcBorders>
              <w:top w:val="nil"/>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22.34%</w:t>
            </w:r>
          </w:p>
        </w:tc>
        <w:tc>
          <w:tcPr>
            <w:tcW w:w="2552" w:type="dxa"/>
            <w:tcBorders>
              <w:top w:val="nil"/>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96.83%</w:t>
            </w:r>
          </w:p>
        </w:tc>
      </w:tr>
      <w:tr w:rsidR="003848B0" w:rsidRPr="00AB51D9" w:rsidTr="00691202">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48B0" w:rsidRDefault="003848B0" w:rsidP="003848B0">
            <w:pPr>
              <w:jc w:val="center"/>
              <w:rPr>
                <w:sz w:val="20"/>
                <w:szCs w:val="20"/>
              </w:rPr>
            </w:pPr>
            <w:r>
              <w:rPr>
                <w:rFonts w:hint="eastAsia"/>
                <w:sz w:val="20"/>
                <w:szCs w:val="20"/>
              </w:rPr>
              <w:t>5</w:t>
            </w:r>
          </w:p>
        </w:tc>
        <w:tc>
          <w:tcPr>
            <w:tcW w:w="3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848B0" w:rsidRDefault="003848B0" w:rsidP="003848B0">
            <w:pPr>
              <w:rPr>
                <w:sz w:val="20"/>
                <w:szCs w:val="20"/>
              </w:rPr>
            </w:pPr>
            <w:r>
              <w:rPr>
                <w:rFonts w:hint="eastAsia"/>
                <w:sz w:val="20"/>
                <w:szCs w:val="20"/>
              </w:rPr>
              <w:t>非标准化债权类资产</w:t>
            </w:r>
          </w:p>
        </w:tc>
        <w:tc>
          <w:tcPr>
            <w:tcW w:w="2693" w:type="dxa"/>
            <w:tcBorders>
              <w:top w:val="single" w:sz="4" w:space="0" w:color="auto"/>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0.00%</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0.00%</w:t>
            </w:r>
          </w:p>
        </w:tc>
      </w:tr>
      <w:tr w:rsidR="003848B0" w:rsidRPr="00AB51D9" w:rsidTr="00691202">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48B0" w:rsidRDefault="003848B0" w:rsidP="003848B0">
            <w:pPr>
              <w:jc w:val="center"/>
              <w:rPr>
                <w:sz w:val="20"/>
                <w:szCs w:val="20"/>
              </w:rPr>
            </w:pPr>
            <w:r>
              <w:rPr>
                <w:rFonts w:hint="eastAsia"/>
                <w:sz w:val="20"/>
                <w:szCs w:val="20"/>
              </w:rPr>
              <w:t>6</w:t>
            </w:r>
          </w:p>
        </w:tc>
        <w:tc>
          <w:tcPr>
            <w:tcW w:w="31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848B0" w:rsidRDefault="003848B0" w:rsidP="003848B0">
            <w:pPr>
              <w:rPr>
                <w:sz w:val="20"/>
                <w:szCs w:val="20"/>
              </w:rPr>
            </w:pPr>
            <w:r>
              <w:rPr>
                <w:rFonts w:hint="eastAsia"/>
                <w:sz w:val="20"/>
                <w:szCs w:val="20"/>
              </w:rPr>
              <w:t>权益类投资</w:t>
            </w:r>
          </w:p>
        </w:tc>
        <w:tc>
          <w:tcPr>
            <w:tcW w:w="2693" w:type="dxa"/>
            <w:tcBorders>
              <w:top w:val="single" w:sz="4" w:space="0" w:color="auto"/>
              <w:left w:val="nil"/>
              <w:bottom w:val="single" w:sz="4" w:space="0" w:color="auto"/>
              <w:right w:val="single" w:sz="4" w:space="0" w:color="auto"/>
            </w:tcBorders>
            <w:shd w:val="clear" w:color="auto" w:fill="auto"/>
            <w:noWrap/>
            <w:vAlign w:val="bottom"/>
          </w:tcPr>
          <w:p w:rsidR="003848B0" w:rsidRDefault="003848B0" w:rsidP="003848B0">
            <w:pPr>
              <w:jc w:val="center"/>
              <w:rPr>
                <w:sz w:val="20"/>
                <w:szCs w:val="20"/>
              </w:rPr>
            </w:pPr>
            <w:r>
              <w:rPr>
                <w:rFonts w:hint="eastAsia"/>
                <w:sz w:val="20"/>
                <w:szCs w:val="20"/>
              </w:rPr>
              <w:t>0.00%</w:t>
            </w:r>
          </w:p>
        </w:tc>
        <w:tc>
          <w:tcPr>
            <w:tcW w:w="2552" w:type="dxa"/>
            <w:tcBorders>
              <w:top w:val="single" w:sz="4" w:space="0" w:color="auto"/>
              <w:left w:val="nil"/>
              <w:bottom w:val="single" w:sz="4" w:space="0" w:color="auto"/>
              <w:right w:val="single" w:sz="4" w:space="0" w:color="auto"/>
            </w:tcBorders>
            <w:shd w:val="clear" w:color="auto" w:fill="auto"/>
            <w:noWrap/>
            <w:vAlign w:val="bottom"/>
          </w:tcPr>
          <w:p w:rsidR="003848B0" w:rsidRDefault="003848B0" w:rsidP="003848B0">
            <w:pPr>
              <w:jc w:val="center"/>
              <w:rPr>
                <w:sz w:val="20"/>
                <w:szCs w:val="20"/>
              </w:rPr>
            </w:pPr>
            <w:r>
              <w:rPr>
                <w:rFonts w:hint="eastAsia"/>
                <w:sz w:val="20"/>
                <w:szCs w:val="20"/>
              </w:rPr>
              <w:t>0.00%</w:t>
            </w:r>
          </w:p>
        </w:tc>
      </w:tr>
      <w:tr w:rsidR="003848B0" w:rsidRPr="00AB51D9" w:rsidTr="00691202">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48B0" w:rsidRDefault="003848B0" w:rsidP="003848B0">
            <w:pPr>
              <w:jc w:val="center"/>
              <w:rPr>
                <w:sz w:val="20"/>
                <w:szCs w:val="20"/>
              </w:rPr>
            </w:pPr>
            <w:r>
              <w:rPr>
                <w:rFonts w:hint="eastAsia"/>
                <w:sz w:val="20"/>
                <w:szCs w:val="20"/>
              </w:rPr>
              <w:lastRenderedPageBreak/>
              <w:t>7</w:t>
            </w:r>
          </w:p>
        </w:tc>
        <w:tc>
          <w:tcPr>
            <w:tcW w:w="31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848B0" w:rsidRDefault="003848B0" w:rsidP="003848B0">
            <w:pPr>
              <w:rPr>
                <w:sz w:val="20"/>
                <w:szCs w:val="20"/>
              </w:rPr>
            </w:pPr>
            <w:r>
              <w:rPr>
                <w:rFonts w:hint="eastAsia"/>
                <w:sz w:val="20"/>
                <w:szCs w:val="20"/>
              </w:rPr>
              <w:t>金融衍生品</w:t>
            </w:r>
          </w:p>
        </w:tc>
        <w:tc>
          <w:tcPr>
            <w:tcW w:w="2693" w:type="dxa"/>
            <w:tcBorders>
              <w:top w:val="single" w:sz="4" w:space="0" w:color="auto"/>
              <w:left w:val="nil"/>
              <w:bottom w:val="single" w:sz="4" w:space="0" w:color="auto"/>
              <w:right w:val="single" w:sz="4" w:space="0" w:color="auto"/>
            </w:tcBorders>
            <w:shd w:val="clear" w:color="auto" w:fill="auto"/>
            <w:noWrap/>
            <w:vAlign w:val="bottom"/>
          </w:tcPr>
          <w:p w:rsidR="003848B0" w:rsidRDefault="003848B0" w:rsidP="003848B0">
            <w:pPr>
              <w:jc w:val="center"/>
              <w:rPr>
                <w:sz w:val="20"/>
                <w:szCs w:val="20"/>
              </w:rPr>
            </w:pPr>
            <w:r>
              <w:rPr>
                <w:rFonts w:hint="eastAsia"/>
                <w:sz w:val="20"/>
                <w:szCs w:val="20"/>
              </w:rPr>
              <w:t>0.00%</w:t>
            </w:r>
          </w:p>
        </w:tc>
        <w:tc>
          <w:tcPr>
            <w:tcW w:w="2552" w:type="dxa"/>
            <w:tcBorders>
              <w:top w:val="single" w:sz="4" w:space="0" w:color="auto"/>
              <w:left w:val="nil"/>
              <w:bottom w:val="single" w:sz="4" w:space="0" w:color="auto"/>
              <w:right w:val="single" w:sz="4" w:space="0" w:color="auto"/>
            </w:tcBorders>
            <w:shd w:val="clear" w:color="auto" w:fill="auto"/>
            <w:noWrap/>
            <w:vAlign w:val="bottom"/>
          </w:tcPr>
          <w:p w:rsidR="003848B0" w:rsidRDefault="003848B0" w:rsidP="003848B0">
            <w:pPr>
              <w:jc w:val="center"/>
              <w:rPr>
                <w:sz w:val="20"/>
                <w:szCs w:val="20"/>
              </w:rPr>
            </w:pPr>
            <w:r>
              <w:rPr>
                <w:rFonts w:hint="eastAsia"/>
                <w:sz w:val="20"/>
                <w:szCs w:val="20"/>
              </w:rPr>
              <w:t>0.00%</w:t>
            </w:r>
          </w:p>
        </w:tc>
      </w:tr>
      <w:tr w:rsidR="003848B0"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48B0" w:rsidRDefault="003848B0" w:rsidP="003848B0">
            <w:pPr>
              <w:jc w:val="center"/>
              <w:rPr>
                <w:sz w:val="20"/>
                <w:szCs w:val="20"/>
              </w:rPr>
            </w:pPr>
            <w:r>
              <w:rPr>
                <w:rFonts w:hint="eastAsia"/>
                <w:sz w:val="20"/>
                <w:szCs w:val="20"/>
              </w:rPr>
              <w:t>8</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3848B0" w:rsidRDefault="003848B0" w:rsidP="003848B0">
            <w:pPr>
              <w:rPr>
                <w:sz w:val="20"/>
                <w:szCs w:val="20"/>
              </w:rPr>
            </w:pPr>
            <w:r>
              <w:rPr>
                <w:rFonts w:hint="eastAsia"/>
                <w:sz w:val="20"/>
                <w:szCs w:val="20"/>
              </w:rPr>
              <w:t>代客境外理财投资QDII</w:t>
            </w:r>
          </w:p>
        </w:tc>
        <w:tc>
          <w:tcPr>
            <w:tcW w:w="2693" w:type="dxa"/>
            <w:tcBorders>
              <w:top w:val="nil"/>
              <w:left w:val="nil"/>
              <w:bottom w:val="single" w:sz="4" w:space="0" w:color="auto"/>
              <w:right w:val="single" w:sz="4" w:space="0" w:color="auto"/>
            </w:tcBorders>
            <w:shd w:val="clear" w:color="auto" w:fill="auto"/>
            <w:noWrap/>
            <w:vAlign w:val="bottom"/>
          </w:tcPr>
          <w:p w:rsidR="003848B0" w:rsidRDefault="003848B0" w:rsidP="003848B0">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3848B0" w:rsidRDefault="003848B0" w:rsidP="003848B0">
            <w:pPr>
              <w:jc w:val="center"/>
              <w:rPr>
                <w:sz w:val="20"/>
                <w:szCs w:val="20"/>
              </w:rPr>
            </w:pPr>
            <w:r>
              <w:rPr>
                <w:rFonts w:hint="eastAsia"/>
                <w:sz w:val="20"/>
                <w:szCs w:val="20"/>
              </w:rPr>
              <w:t>0.00%</w:t>
            </w:r>
          </w:p>
        </w:tc>
      </w:tr>
      <w:tr w:rsidR="003848B0"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48B0" w:rsidRDefault="003848B0" w:rsidP="003848B0">
            <w:pPr>
              <w:jc w:val="center"/>
              <w:rPr>
                <w:sz w:val="20"/>
                <w:szCs w:val="20"/>
              </w:rPr>
            </w:pPr>
            <w:r>
              <w:rPr>
                <w:rFonts w:hint="eastAsia"/>
                <w:sz w:val="20"/>
                <w:szCs w:val="20"/>
              </w:rPr>
              <w:t>9</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3848B0" w:rsidRDefault="003848B0" w:rsidP="003848B0">
            <w:pPr>
              <w:rPr>
                <w:sz w:val="20"/>
                <w:szCs w:val="20"/>
              </w:rPr>
            </w:pPr>
            <w:r>
              <w:rPr>
                <w:rFonts w:hint="eastAsia"/>
                <w:sz w:val="20"/>
                <w:szCs w:val="20"/>
              </w:rPr>
              <w:t>商品类资产</w:t>
            </w:r>
          </w:p>
        </w:tc>
        <w:tc>
          <w:tcPr>
            <w:tcW w:w="2693" w:type="dxa"/>
            <w:tcBorders>
              <w:top w:val="nil"/>
              <w:left w:val="nil"/>
              <w:bottom w:val="single" w:sz="4" w:space="0" w:color="auto"/>
              <w:right w:val="single" w:sz="4" w:space="0" w:color="auto"/>
            </w:tcBorders>
            <w:shd w:val="clear" w:color="auto" w:fill="auto"/>
            <w:noWrap/>
            <w:vAlign w:val="bottom"/>
          </w:tcPr>
          <w:p w:rsidR="003848B0" w:rsidRDefault="003848B0" w:rsidP="003848B0">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3848B0" w:rsidRDefault="003848B0" w:rsidP="003848B0">
            <w:pPr>
              <w:jc w:val="center"/>
              <w:rPr>
                <w:sz w:val="20"/>
                <w:szCs w:val="20"/>
              </w:rPr>
            </w:pPr>
            <w:r>
              <w:rPr>
                <w:rFonts w:hint="eastAsia"/>
                <w:sz w:val="20"/>
                <w:szCs w:val="20"/>
              </w:rPr>
              <w:t>0.00%</w:t>
            </w:r>
          </w:p>
        </w:tc>
      </w:tr>
      <w:tr w:rsidR="003848B0" w:rsidRPr="00AB51D9" w:rsidTr="00FA1DCB">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48B0" w:rsidRDefault="003848B0" w:rsidP="003848B0">
            <w:pPr>
              <w:jc w:val="center"/>
              <w:rPr>
                <w:sz w:val="20"/>
                <w:szCs w:val="20"/>
              </w:rPr>
            </w:pPr>
            <w:r>
              <w:rPr>
                <w:rFonts w:hint="eastAsia"/>
                <w:sz w:val="20"/>
                <w:szCs w:val="20"/>
              </w:rPr>
              <w:t>10</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3848B0" w:rsidRDefault="003848B0" w:rsidP="003848B0">
            <w:pPr>
              <w:rPr>
                <w:sz w:val="20"/>
                <w:szCs w:val="20"/>
              </w:rPr>
            </w:pPr>
            <w:r>
              <w:rPr>
                <w:rFonts w:hint="eastAsia"/>
                <w:sz w:val="20"/>
                <w:szCs w:val="20"/>
              </w:rPr>
              <w:t>资管产品（公募基金）</w:t>
            </w:r>
          </w:p>
        </w:tc>
        <w:tc>
          <w:tcPr>
            <w:tcW w:w="2693" w:type="dxa"/>
            <w:tcBorders>
              <w:top w:val="nil"/>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2.79%</w:t>
            </w:r>
          </w:p>
        </w:tc>
      </w:tr>
      <w:tr w:rsidR="003848B0" w:rsidRPr="00AB51D9" w:rsidTr="00FA1DCB">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48B0" w:rsidRDefault="003848B0" w:rsidP="003848B0">
            <w:pPr>
              <w:jc w:val="center"/>
              <w:rPr>
                <w:sz w:val="20"/>
                <w:szCs w:val="20"/>
              </w:rPr>
            </w:pPr>
            <w:r>
              <w:rPr>
                <w:rFonts w:hint="eastAsia"/>
                <w:sz w:val="20"/>
                <w:szCs w:val="20"/>
              </w:rPr>
              <w:t>11</w:t>
            </w:r>
          </w:p>
        </w:tc>
        <w:tc>
          <w:tcPr>
            <w:tcW w:w="3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848B0" w:rsidRDefault="003848B0" w:rsidP="003848B0">
            <w:pPr>
              <w:rPr>
                <w:sz w:val="20"/>
                <w:szCs w:val="20"/>
              </w:rPr>
            </w:pPr>
            <w:r>
              <w:rPr>
                <w:rFonts w:hint="eastAsia"/>
                <w:sz w:val="20"/>
                <w:szCs w:val="20"/>
              </w:rPr>
              <w:t>资管产品（除公募基金）</w:t>
            </w:r>
          </w:p>
        </w:tc>
        <w:tc>
          <w:tcPr>
            <w:tcW w:w="2693" w:type="dxa"/>
            <w:tcBorders>
              <w:top w:val="single" w:sz="4" w:space="0" w:color="auto"/>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77.31%</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0.00%</w:t>
            </w:r>
          </w:p>
        </w:tc>
      </w:tr>
      <w:tr w:rsidR="003848B0" w:rsidRPr="00AB51D9" w:rsidTr="00FA1DCB">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48B0" w:rsidRDefault="003848B0" w:rsidP="003848B0">
            <w:pPr>
              <w:jc w:val="center"/>
              <w:rPr>
                <w:sz w:val="20"/>
                <w:szCs w:val="20"/>
              </w:rPr>
            </w:pPr>
            <w:r>
              <w:rPr>
                <w:rFonts w:hint="eastAsia"/>
                <w:sz w:val="20"/>
                <w:szCs w:val="20"/>
              </w:rPr>
              <w:t>12</w:t>
            </w:r>
          </w:p>
        </w:tc>
        <w:tc>
          <w:tcPr>
            <w:tcW w:w="3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848B0" w:rsidRDefault="003848B0" w:rsidP="003848B0">
            <w:pPr>
              <w:rPr>
                <w:sz w:val="20"/>
                <w:szCs w:val="20"/>
              </w:rPr>
            </w:pPr>
            <w:r>
              <w:rPr>
                <w:rFonts w:hint="eastAsia"/>
                <w:sz w:val="20"/>
                <w:szCs w:val="20"/>
              </w:rPr>
              <w:t>私募基金</w:t>
            </w:r>
          </w:p>
        </w:tc>
        <w:tc>
          <w:tcPr>
            <w:tcW w:w="2693" w:type="dxa"/>
            <w:tcBorders>
              <w:top w:val="single" w:sz="4" w:space="0" w:color="auto"/>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0.00%</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0.00%</w:t>
            </w:r>
          </w:p>
        </w:tc>
      </w:tr>
      <w:tr w:rsidR="003848B0"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48B0" w:rsidRDefault="003848B0" w:rsidP="003848B0">
            <w:pPr>
              <w:jc w:val="center"/>
              <w:rPr>
                <w:sz w:val="20"/>
                <w:szCs w:val="20"/>
              </w:rPr>
            </w:pPr>
            <w:r>
              <w:rPr>
                <w:rFonts w:hint="eastAsia"/>
                <w:sz w:val="20"/>
                <w:szCs w:val="20"/>
              </w:rPr>
              <w:t>13</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3848B0" w:rsidRDefault="003848B0" w:rsidP="003848B0">
            <w:pPr>
              <w:rPr>
                <w:sz w:val="20"/>
                <w:szCs w:val="20"/>
              </w:rPr>
            </w:pPr>
            <w:r>
              <w:rPr>
                <w:rFonts w:hint="eastAsia"/>
                <w:sz w:val="20"/>
                <w:szCs w:val="20"/>
              </w:rPr>
              <w:t>其他(结算备付金和存出保证金）</w:t>
            </w:r>
          </w:p>
        </w:tc>
        <w:tc>
          <w:tcPr>
            <w:tcW w:w="2693" w:type="dxa"/>
            <w:tcBorders>
              <w:top w:val="nil"/>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3848B0" w:rsidRDefault="003848B0" w:rsidP="003848B0">
            <w:pPr>
              <w:jc w:val="center"/>
              <w:rPr>
                <w:sz w:val="20"/>
                <w:szCs w:val="20"/>
              </w:rPr>
            </w:pPr>
            <w:r>
              <w:rPr>
                <w:rFonts w:hint="eastAsia"/>
                <w:sz w:val="20"/>
                <w:szCs w:val="20"/>
              </w:rPr>
              <w:t>0.01%</w:t>
            </w:r>
          </w:p>
        </w:tc>
      </w:tr>
    </w:tbl>
    <w:bookmarkEnd w:id="4"/>
    <w:p w:rsidR="003B709A" w:rsidRDefault="003B709A" w:rsidP="000D2529">
      <w:pPr>
        <w:spacing w:before="120" w:after="120"/>
        <w:ind w:firstLineChars="200" w:firstLine="643"/>
        <w:rPr>
          <w:b/>
          <w:color w:val="000000"/>
          <w:sz w:val="32"/>
          <w:szCs w:val="32"/>
        </w:rPr>
      </w:pPr>
      <w:r w:rsidRPr="00E07FDF">
        <w:rPr>
          <w:rFonts w:hint="eastAsia"/>
          <w:b/>
          <w:color w:val="000000"/>
          <w:sz w:val="32"/>
          <w:szCs w:val="32"/>
        </w:rPr>
        <w:t>五</w:t>
      </w:r>
      <w:r w:rsidRPr="00E07FDF">
        <w:rPr>
          <w:b/>
          <w:color w:val="000000"/>
          <w:sz w:val="32"/>
          <w:szCs w:val="32"/>
        </w:rPr>
        <w:t>、期末理财产品持有的前十项资产</w:t>
      </w:r>
      <w:r>
        <w:rPr>
          <w:rFonts w:hint="eastAsia"/>
          <w:b/>
          <w:color w:val="000000"/>
          <w:sz w:val="32"/>
          <w:szCs w:val="32"/>
        </w:rPr>
        <w:t xml:space="preserve"> </w:t>
      </w:r>
      <w:r>
        <w:rPr>
          <w:b/>
          <w:color w:val="000000"/>
          <w:sz w:val="32"/>
          <w:szCs w:val="32"/>
        </w:rPr>
        <w:t xml:space="preserve">  </w:t>
      </w:r>
    </w:p>
    <w:p w:rsidR="003B709A" w:rsidRPr="00526EF6" w:rsidRDefault="003B709A" w:rsidP="003B709A">
      <w:pPr>
        <w:spacing w:before="120" w:after="120"/>
        <w:ind w:firstLineChars="150" w:firstLine="482"/>
        <w:rPr>
          <w:color w:val="000000"/>
          <w:sz w:val="18"/>
          <w:szCs w:val="18"/>
        </w:rPr>
      </w:pPr>
      <w:r>
        <w:rPr>
          <w:b/>
          <w:color w:val="000000"/>
          <w:sz w:val="32"/>
          <w:szCs w:val="32"/>
        </w:rPr>
        <w:t xml:space="preserve">         </w:t>
      </w:r>
      <w:r w:rsidR="00625482">
        <w:rPr>
          <w:b/>
          <w:color w:val="000000"/>
          <w:sz w:val="32"/>
          <w:szCs w:val="32"/>
        </w:rPr>
        <w:t xml:space="preserve">                           </w:t>
      </w:r>
      <w:r w:rsidR="00EA06C3">
        <w:rPr>
          <w:b/>
          <w:color w:val="000000"/>
          <w:sz w:val="32"/>
          <w:szCs w:val="32"/>
        </w:rPr>
        <w:t xml:space="preserve">  </w:t>
      </w:r>
      <w:r w:rsidRPr="00526EF6">
        <w:rPr>
          <w:color w:val="000000"/>
          <w:sz w:val="18"/>
          <w:szCs w:val="18"/>
        </w:rPr>
        <w:t xml:space="preserve"> </w:t>
      </w:r>
      <w:r w:rsidR="00625482" w:rsidRPr="003D5397">
        <w:rPr>
          <w:color w:val="000000"/>
          <w:sz w:val="18"/>
          <w:szCs w:val="18"/>
        </w:rPr>
        <w:t>单位：人民币（CNY）</w:t>
      </w:r>
    </w:p>
    <w:tbl>
      <w:tblPr>
        <w:tblW w:w="9033" w:type="dxa"/>
        <w:tblInd w:w="-176" w:type="dxa"/>
        <w:tblLook w:val="04A0" w:firstRow="1" w:lastRow="0" w:firstColumn="1" w:lastColumn="0" w:noHBand="0" w:noVBand="1"/>
      </w:tblPr>
      <w:tblGrid>
        <w:gridCol w:w="704"/>
        <w:gridCol w:w="2699"/>
        <w:gridCol w:w="1039"/>
        <w:gridCol w:w="1428"/>
        <w:gridCol w:w="1805"/>
        <w:gridCol w:w="1358"/>
      </w:tblGrid>
      <w:tr w:rsidR="003B709A" w:rsidRPr="007B2F24" w:rsidTr="005B070D">
        <w:trPr>
          <w:trHeight w:val="615"/>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709A" w:rsidRPr="007B2F24" w:rsidRDefault="003B709A" w:rsidP="00FF70E1">
            <w:pPr>
              <w:jc w:val="center"/>
              <w:rPr>
                <w:sz w:val="20"/>
                <w:szCs w:val="20"/>
              </w:rPr>
            </w:pPr>
            <w:r w:rsidRPr="007B2F24">
              <w:rPr>
                <w:rFonts w:hint="eastAsia"/>
                <w:sz w:val="20"/>
                <w:szCs w:val="20"/>
              </w:rPr>
              <w:t>序号</w:t>
            </w:r>
          </w:p>
        </w:tc>
        <w:tc>
          <w:tcPr>
            <w:tcW w:w="2699"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资产名称</w:t>
            </w:r>
          </w:p>
        </w:tc>
        <w:tc>
          <w:tcPr>
            <w:tcW w:w="1039"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资产类别</w:t>
            </w:r>
          </w:p>
        </w:tc>
        <w:tc>
          <w:tcPr>
            <w:tcW w:w="1428"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资产代码</w:t>
            </w:r>
          </w:p>
        </w:tc>
        <w:tc>
          <w:tcPr>
            <w:tcW w:w="1805"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金额（</w:t>
            </w:r>
            <w:r w:rsidR="00E81AAA">
              <w:rPr>
                <w:rFonts w:hint="eastAsia"/>
                <w:sz w:val="20"/>
                <w:szCs w:val="20"/>
              </w:rPr>
              <w:t>万</w:t>
            </w:r>
            <w:r w:rsidRPr="002950C8">
              <w:rPr>
                <w:rFonts w:hint="eastAsia"/>
                <w:sz w:val="20"/>
                <w:szCs w:val="20"/>
              </w:rPr>
              <w:t>元）</w:t>
            </w:r>
          </w:p>
        </w:tc>
        <w:tc>
          <w:tcPr>
            <w:tcW w:w="1358"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占产品总资产的比例（%）</w:t>
            </w:r>
          </w:p>
        </w:tc>
      </w:tr>
      <w:tr w:rsidR="00023522" w:rsidRPr="007B2F24" w:rsidTr="00990C40">
        <w:trPr>
          <w:trHeight w:val="277"/>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23522" w:rsidRPr="007B2F24" w:rsidRDefault="00023522" w:rsidP="00023522">
            <w:pPr>
              <w:jc w:val="center"/>
              <w:rPr>
                <w:sz w:val="20"/>
                <w:szCs w:val="20"/>
              </w:rPr>
            </w:pPr>
            <w:bookmarkStart w:id="5" w:name="_Hlk219736508"/>
            <w:r w:rsidRPr="007B2F24">
              <w:rPr>
                <w:rFonts w:hint="eastAsia"/>
                <w:sz w:val="20"/>
                <w:szCs w:val="20"/>
              </w:rPr>
              <w:t>1</w:t>
            </w:r>
          </w:p>
        </w:tc>
        <w:tc>
          <w:tcPr>
            <w:tcW w:w="26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16唐山农商二级</w:t>
            </w:r>
          </w:p>
        </w:tc>
        <w:tc>
          <w:tcPr>
            <w:tcW w:w="1039" w:type="dxa"/>
            <w:tcBorders>
              <w:top w:val="single" w:sz="4" w:space="0" w:color="auto"/>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债券</w:t>
            </w:r>
          </w:p>
        </w:tc>
        <w:tc>
          <w:tcPr>
            <w:tcW w:w="1428" w:type="dxa"/>
            <w:tcBorders>
              <w:top w:val="single" w:sz="4" w:space="0" w:color="auto"/>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1621049.IB</w:t>
            </w:r>
          </w:p>
        </w:tc>
        <w:tc>
          <w:tcPr>
            <w:tcW w:w="1805" w:type="dxa"/>
            <w:tcBorders>
              <w:top w:val="single" w:sz="4" w:space="0" w:color="auto"/>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bookmarkStart w:id="6" w:name="OLE_LINK4"/>
            <w:bookmarkStart w:id="7" w:name="OLE_LINK5"/>
            <w:r>
              <w:rPr>
                <w:rFonts w:hint="eastAsia"/>
                <w:sz w:val="20"/>
                <w:szCs w:val="20"/>
              </w:rPr>
              <w:t>10,061.18</w:t>
            </w:r>
            <w:bookmarkEnd w:id="6"/>
            <w:bookmarkEnd w:id="7"/>
            <w:r>
              <w:rPr>
                <w:rFonts w:hint="eastAsia"/>
                <w:sz w:val="20"/>
                <w:szCs w:val="20"/>
              </w:rPr>
              <w:t xml:space="preserve"> </w:t>
            </w:r>
          </w:p>
        </w:tc>
        <w:tc>
          <w:tcPr>
            <w:tcW w:w="1358" w:type="dxa"/>
            <w:tcBorders>
              <w:top w:val="single" w:sz="4" w:space="0" w:color="auto"/>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10.50%</w:t>
            </w:r>
          </w:p>
        </w:tc>
      </w:tr>
      <w:tr w:rsidR="00023522" w:rsidRPr="007B2F24" w:rsidTr="00990C40">
        <w:trPr>
          <w:trHeight w:val="267"/>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23522" w:rsidRPr="007B2F24" w:rsidRDefault="00023522" w:rsidP="00023522">
            <w:pPr>
              <w:jc w:val="center"/>
              <w:rPr>
                <w:sz w:val="20"/>
                <w:szCs w:val="20"/>
              </w:rPr>
            </w:pPr>
            <w:r w:rsidRPr="007B2F24">
              <w:rPr>
                <w:rFonts w:hint="eastAsia"/>
                <w:sz w:val="20"/>
                <w:szCs w:val="20"/>
              </w:rPr>
              <w:t>2</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23周城05</w:t>
            </w:r>
          </w:p>
        </w:tc>
        <w:tc>
          <w:tcPr>
            <w:tcW w:w="1039"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253368.SH</w:t>
            </w:r>
          </w:p>
        </w:tc>
        <w:tc>
          <w:tcPr>
            <w:tcW w:w="1805"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 xml:space="preserve">6,743.10 </w:t>
            </w:r>
          </w:p>
        </w:tc>
        <w:tc>
          <w:tcPr>
            <w:tcW w:w="135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7.04%</w:t>
            </w:r>
          </w:p>
        </w:tc>
      </w:tr>
      <w:tr w:rsidR="00023522" w:rsidRPr="007B2F24" w:rsidTr="00990C40">
        <w:trPr>
          <w:trHeight w:val="208"/>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23522" w:rsidRPr="007B2F24" w:rsidRDefault="00023522" w:rsidP="00023522">
            <w:pPr>
              <w:jc w:val="center"/>
              <w:rPr>
                <w:sz w:val="20"/>
                <w:szCs w:val="20"/>
              </w:rPr>
            </w:pPr>
            <w:r w:rsidRPr="007B2F24">
              <w:rPr>
                <w:rFonts w:hint="eastAsia"/>
                <w:sz w:val="20"/>
                <w:szCs w:val="20"/>
              </w:rPr>
              <w:t>3</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21国开03</w:t>
            </w:r>
          </w:p>
        </w:tc>
        <w:tc>
          <w:tcPr>
            <w:tcW w:w="1039"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210203.IB</w:t>
            </w:r>
          </w:p>
        </w:tc>
        <w:tc>
          <w:tcPr>
            <w:tcW w:w="1805"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 xml:space="preserve">5,152.92 </w:t>
            </w:r>
          </w:p>
        </w:tc>
        <w:tc>
          <w:tcPr>
            <w:tcW w:w="135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5.38%</w:t>
            </w:r>
          </w:p>
        </w:tc>
      </w:tr>
      <w:tr w:rsidR="00023522" w:rsidRPr="007B2F24" w:rsidTr="00990C40">
        <w:trPr>
          <w:trHeight w:val="309"/>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23522" w:rsidRPr="007B2F24" w:rsidRDefault="00023522" w:rsidP="00023522">
            <w:pPr>
              <w:jc w:val="center"/>
              <w:rPr>
                <w:sz w:val="20"/>
                <w:szCs w:val="20"/>
              </w:rPr>
            </w:pPr>
            <w:r w:rsidRPr="007B2F24">
              <w:rPr>
                <w:rFonts w:hint="eastAsia"/>
                <w:sz w:val="20"/>
                <w:szCs w:val="20"/>
              </w:rPr>
              <w:t>4</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24豫自01</w:t>
            </w:r>
          </w:p>
        </w:tc>
        <w:tc>
          <w:tcPr>
            <w:tcW w:w="1039"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 xml:space="preserve">254840.SH </w:t>
            </w:r>
          </w:p>
        </w:tc>
        <w:tc>
          <w:tcPr>
            <w:tcW w:w="1805"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 xml:space="preserve">4,261.05 </w:t>
            </w:r>
          </w:p>
        </w:tc>
        <w:tc>
          <w:tcPr>
            <w:tcW w:w="135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4.45%</w:t>
            </w:r>
          </w:p>
        </w:tc>
      </w:tr>
      <w:tr w:rsidR="00023522" w:rsidRPr="007B2F24" w:rsidTr="00990C40">
        <w:trPr>
          <w:trHeight w:val="256"/>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23522" w:rsidRPr="007B2F24" w:rsidRDefault="00023522" w:rsidP="00023522">
            <w:pPr>
              <w:jc w:val="center"/>
              <w:rPr>
                <w:sz w:val="20"/>
                <w:szCs w:val="20"/>
              </w:rPr>
            </w:pPr>
            <w:r w:rsidRPr="007B2F24">
              <w:rPr>
                <w:rFonts w:hint="eastAsia"/>
                <w:sz w:val="20"/>
                <w:szCs w:val="20"/>
              </w:rPr>
              <w:t>5</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25九龙江MTN002</w:t>
            </w:r>
          </w:p>
        </w:tc>
        <w:tc>
          <w:tcPr>
            <w:tcW w:w="1039"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 xml:space="preserve">102581313.IB </w:t>
            </w:r>
          </w:p>
        </w:tc>
        <w:tc>
          <w:tcPr>
            <w:tcW w:w="1805"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 xml:space="preserve">4,258.59 </w:t>
            </w:r>
          </w:p>
        </w:tc>
        <w:tc>
          <w:tcPr>
            <w:tcW w:w="135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4.45%</w:t>
            </w:r>
          </w:p>
        </w:tc>
      </w:tr>
      <w:tr w:rsidR="00023522" w:rsidRPr="007B2F24" w:rsidTr="00990C40">
        <w:trPr>
          <w:trHeight w:val="219"/>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23522" w:rsidRPr="007B2F24" w:rsidRDefault="00023522" w:rsidP="00023522">
            <w:pPr>
              <w:jc w:val="center"/>
              <w:rPr>
                <w:sz w:val="20"/>
                <w:szCs w:val="20"/>
              </w:rPr>
            </w:pPr>
            <w:r w:rsidRPr="007B2F24">
              <w:rPr>
                <w:rFonts w:hint="eastAsia"/>
                <w:sz w:val="20"/>
                <w:szCs w:val="20"/>
              </w:rPr>
              <w:t>6</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24象屿股份MTN001</w:t>
            </w:r>
          </w:p>
        </w:tc>
        <w:tc>
          <w:tcPr>
            <w:tcW w:w="1039"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102480570.IB</w:t>
            </w:r>
          </w:p>
        </w:tc>
        <w:tc>
          <w:tcPr>
            <w:tcW w:w="1805"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 xml:space="preserve">4,238.63 </w:t>
            </w:r>
          </w:p>
        </w:tc>
        <w:tc>
          <w:tcPr>
            <w:tcW w:w="135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4.42%</w:t>
            </w:r>
          </w:p>
        </w:tc>
      </w:tr>
      <w:tr w:rsidR="00023522" w:rsidRPr="007B2F24" w:rsidTr="00990C40">
        <w:trPr>
          <w:trHeight w:val="181"/>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23522" w:rsidRPr="007B2F24" w:rsidRDefault="00023522" w:rsidP="00023522">
            <w:pPr>
              <w:jc w:val="center"/>
              <w:rPr>
                <w:sz w:val="20"/>
                <w:szCs w:val="20"/>
              </w:rPr>
            </w:pPr>
            <w:r w:rsidRPr="007B2F24">
              <w:rPr>
                <w:rFonts w:hint="eastAsia"/>
                <w:sz w:val="20"/>
                <w:szCs w:val="20"/>
              </w:rPr>
              <w:t>7</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24平安银行二级资本债01A</w:t>
            </w:r>
          </w:p>
        </w:tc>
        <w:tc>
          <w:tcPr>
            <w:tcW w:w="1039"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232480035.IB</w:t>
            </w:r>
          </w:p>
        </w:tc>
        <w:tc>
          <w:tcPr>
            <w:tcW w:w="1805"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 xml:space="preserve">4,204.27 </w:t>
            </w:r>
          </w:p>
        </w:tc>
        <w:tc>
          <w:tcPr>
            <w:tcW w:w="135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4.39%</w:t>
            </w:r>
          </w:p>
        </w:tc>
      </w:tr>
      <w:tr w:rsidR="00023522" w:rsidRPr="007B2F24" w:rsidTr="00990C40">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23522" w:rsidRPr="007B2F24" w:rsidRDefault="00023522" w:rsidP="00023522">
            <w:pPr>
              <w:jc w:val="center"/>
              <w:rPr>
                <w:sz w:val="20"/>
                <w:szCs w:val="20"/>
              </w:rPr>
            </w:pPr>
            <w:r w:rsidRPr="007B2F24">
              <w:rPr>
                <w:rFonts w:hint="eastAsia"/>
                <w:sz w:val="20"/>
                <w:szCs w:val="20"/>
              </w:rPr>
              <w:t>8</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23徐州经开MTN002</w:t>
            </w:r>
          </w:p>
        </w:tc>
        <w:tc>
          <w:tcPr>
            <w:tcW w:w="1039"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102383063.IB</w:t>
            </w:r>
          </w:p>
        </w:tc>
        <w:tc>
          <w:tcPr>
            <w:tcW w:w="1805"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 xml:space="preserve">4,200.32 </w:t>
            </w:r>
          </w:p>
        </w:tc>
        <w:tc>
          <w:tcPr>
            <w:tcW w:w="135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4.38%</w:t>
            </w:r>
          </w:p>
        </w:tc>
      </w:tr>
      <w:tr w:rsidR="00023522" w:rsidRPr="007B2F24" w:rsidTr="00990C40">
        <w:trPr>
          <w:trHeight w:val="261"/>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23522" w:rsidRPr="007B2F24" w:rsidRDefault="00023522" w:rsidP="00023522">
            <w:pPr>
              <w:jc w:val="center"/>
              <w:rPr>
                <w:sz w:val="20"/>
                <w:szCs w:val="20"/>
              </w:rPr>
            </w:pPr>
            <w:r w:rsidRPr="007B2F24">
              <w:rPr>
                <w:rFonts w:hint="eastAsia"/>
                <w:sz w:val="20"/>
                <w:szCs w:val="20"/>
              </w:rPr>
              <w:t>9</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25平安银行永续债01BC</w:t>
            </w:r>
          </w:p>
        </w:tc>
        <w:tc>
          <w:tcPr>
            <w:tcW w:w="1039"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242580003.IB</w:t>
            </w:r>
          </w:p>
        </w:tc>
        <w:tc>
          <w:tcPr>
            <w:tcW w:w="1805"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 xml:space="preserve">4,199.57 </w:t>
            </w:r>
          </w:p>
        </w:tc>
        <w:tc>
          <w:tcPr>
            <w:tcW w:w="135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4.38%</w:t>
            </w:r>
          </w:p>
        </w:tc>
      </w:tr>
      <w:tr w:rsidR="00023522" w:rsidRPr="007B2F24" w:rsidTr="00990C40">
        <w:trPr>
          <w:trHeight w:val="209"/>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23522" w:rsidRPr="007B2F24" w:rsidRDefault="00023522" w:rsidP="00023522">
            <w:pPr>
              <w:jc w:val="center"/>
              <w:rPr>
                <w:sz w:val="20"/>
                <w:szCs w:val="20"/>
              </w:rPr>
            </w:pPr>
            <w:bookmarkStart w:id="8" w:name="_Hlk192490201"/>
            <w:r w:rsidRPr="007B2F24">
              <w:rPr>
                <w:rFonts w:hint="eastAsia"/>
                <w:sz w:val="20"/>
                <w:szCs w:val="20"/>
              </w:rPr>
              <w:t>10</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24南浦口MTN004</w:t>
            </w:r>
          </w:p>
        </w:tc>
        <w:tc>
          <w:tcPr>
            <w:tcW w:w="1039"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102484102.IB</w:t>
            </w:r>
          </w:p>
        </w:tc>
        <w:tc>
          <w:tcPr>
            <w:tcW w:w="1805"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 xml:space="preserve">4,180.04 </w:t>
            </w:r>
          </w:p>
        </w:tc>
        <w:tc>
          <w:tcPr>
            <w:tcW w:w="1358" w:type="dxa"/>
            <w:tcBorders>
              <w:top w:val="nil"/>
              <w:left w:val="nil"/>
              <w:bottom w:val="single" w:sz="4" w:space="0" w:color="auto"/>
              <w:right w:val="single" w:sz="4" w:space="0" w:color="auto"/>
            </w:tcBorders>
            <w:shd w:val="clear" w:color="auto" w:fill="auto"/>
            <w:vAlign w:val="center"/>
            <w:hideMark/>
          </w:tcPr>
          <w:p w:rsidR="00023522" w:rsidRDefault="00023522" w:rsidP="00023522">
            <w:pPr>
              <w:jc w:val="center"/>
              <w:rPr>
                <w:sz w:val="20"/>
                <w:szCs w:val="20"/>
              </w:rPr>
            </w:pPr>
            <w:r>
              <w:rPr>
                <w:rFonts w:hint="eastAsia"/>
                <w:sz w:val="20"/>
                <w:szCs w:val="20"/>
              </w:rPr>
              <w:t>4.36%</w:t>
            </w:r>
          </w:p>
        </w:tc>
      </w:tr>
    </w:tbl>
    <w:bookmarkEnd w:id="5"/>
    <w:bookmarkEnd w:id="8"/>
    <w:p w:rsidR="000D2529" w:rsidRDefault="004430FB" w:rsidP="000D2529">
      <w:pPr>
        <w:spacing w:before="120" w:after="120"/>
        <w:ind w:firstLineChars="150" w:firstLine="300"/>
        <w:jc w:val="both"/>
        <w:rPr>
          <w:color w:val="000000"/>
          <w:sz w:val="20"/>
          <w:szCs w:val="20"/>
        </w:rPr>
      </w:pPr>
      <w:r w:rsidRPr="004430FB">
        <w:rPr>
          <w:color w:val="000000"/>
          <w:sz w:val="20"/>
          <w:szCs w:val="20"/>
        </w:rPr>
        <w:t>注：上述资产的持有金额包含资产应计利息，不包含其他应收款项、清算款项</w:t>
      </w:r>
      <w:r w:rsidR="00ED77F0">
        <w:rPr>
          <w:color w:val="000000"/>
          <w:sz w:val="20"/>
          <w:szCs w:val="20"/>
        </w:rPr>
        <w:t>等</w:t>
      </w:r>
      <w:r w:rsidRPr="004430FB">
        <w:rPr>
          <w:color w:val="000000"/>
          <w:sz w:val="20"/>
          <w:szCs w:val="20"/>
        </w:rPr>
        <w:t>。</w:t>
      </w:r>
    </w:p>
    <w:p w:rsidR="003B709A" w:rsidRPr="000D2529" w:rsidRDefault="000D2529" w:rsidP="000D2529">
      <w:pPr>
        <w:spacing w:before="120" w:after="120"/>
        <w:ind w:firstLineChars="200" w:firstLine="643"/>
        <w:jc w:val="both"/>
        <w:rPr>
          <w:color w:val="000000"/>
          <w:sz w:val="20"/>
          <w:szCs w:val="20"/>
        </w:rPr>
      </w:pPr>
      <w:r w:rsidRPr="000D2529">
        <w:rPr>
          <w:rFonts w:hint="eastAsia"/>
          <w:b/>
          <w:color w:val="000000"/>
          <w:sz w:val="32"/>
          <w:szCs w:val="32"/>
        </w:rPr>
        <w:t>六</w:t>
      </w:r>
      <w:r w:rsidR="003B709A">
        <w:rPr>
          <w:b/>
          <w:color w:val="000000"/>
          <w:sz w:val="32"/>
          <w:szCs w:val="32"/>
        </w:rPr>
        <w:t>、期间理财产品持有的非标准化债权类资产</w:t>
      </w:r>
    </w:p>
    <w:tbl>
      <w:tblPr>
        <w:tblW w:w="8931" w:type="dxa"/>
        <w:tblInd w:w="-176" w:type="dxa"/>
        <w:tblLook w:val="04A0" w:firstRow="1" w:lastRow="0" w:firstColumn="1" w:lastColumn="0" w:noHBand="0" w:noVBand="1"/>
      </w:tblPr>
      <w:tblGrid>
        <w:gridCol w:w="914"/>
        <w:gridCol w:w="1095"/>
        <w:gridCol w:w="1109"/>
        <w:gridCol w:w="1601"/>
        <w:gridCol w:w="1232"/>
        <w:gridCol w:w="1109"/>
        <w:gridCol w:w="1871"/>
      </w:tblGrid>
      <w:tr w:rsidR="003B709A" w:rsidRPr="00DC28C2" w:rsidTr="00F102AF">
        <w:trPr>
          <w:trHeight w:val="156"/>
        </w:trPr>
        <w:tc>
          <w:tcPr>
            <w:tcW w:w="9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序号</w:t>
            </w:r>
          </w:p>
        </w:tc>
        <w:tc>
          <w:tcPr>
            <w:tcW w:w="1095"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融资客户</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项目名称</w:t>
            </w:r>
          </w:p>
        </w:tc>
        <w:tc>
          <w:tcPr>
            <w:tcW w:w="1601"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剩余融资期限（天）</w:t>
            </w:r>
          </w:p>
        </w:tc>
        <w:tc>
          <w:tcPr>
            <w:tcW w:w="1232"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年化收益率</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交易结构</w:t>
            </w:r>
          </w:p>
        </w:tc>
        <w:tc>
          <w:tcPr>
            <w:tcW w:w="1871"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风险状况</w:t>
            </w:r>
          </w:p>
        </w:tc>
      </w:tr>
      <w:tr w:rsidR="003B709A" w:rsidRPr="00DC28C2" w:rsidTr="00F102AF">
        <w:trPr>
          <w:trHeight w:val="524"/>
        </w:trPr>
        <w:tc>
          <w:tcPr>
            <w:tcW w:w="914" w:type="dxa"/>
            <w:tcBorders>
              <w:top w:val="nil"/>
              <w:left w:val="single" w:sz="4" w:space="0" w:color="auto"/>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sz w:val="20"/>
                <w:szCs w:val="20"/>
              </w:rPr>
              <w:t>-</w:t>
            </w:r>
          </w:p>
        </w:tc>
        <w:tc>
          <w:tcPr>
            <w:tcW w:w="1095"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109"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601"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232"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109"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871"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r>
      <w:tr w:rsidR="003B709A" w:rsidRPr="00DC28C2" w:rsidTr="00F102AF">
        <w:trPr>
          <w:trHeight w:val="210"/>
        </w:trPr>
        <w:tc>
          <w:tcPr>
            <w:tcW w:w="8931"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3B709A" w:rsidRPr="00DC28C2" w:rsidRDefault="003B709A" w:rsidP="00F102AF">
            <w:pPr>
              <w:rPr>
                <w:sz w:val="20"/>
                <w:szCs w:val="20"/>
              </w:rPr>
            </w:pPr>
            <w:r w:rsidRPr="00DC28C2">
              <w:rPr>
                <w:rFonts w:hint="eastAsia"/>
                <w:sz w:val="20"/>
                <w:szCs w:val="20"/>
              </w:rPr>
              <w:t>注：对于无法披露“年化收益率”的非标准化债权类资产，可将“年化收益率”调整为“到期收益分配”。</w:t>
            </w:r>
          </w:p>
        </w:tc>
      </w:tr>
    </w:tbl>
    <w:p w:rsidR="003B709A" w:rsidRPr="00DC28C2" w:rsidRDefault="009A54C8" w:rsidP="000D2529">
      <w:pPr>
        <w:spacing w:before="120" w:after="120"/>
        <w:ind w:firstLineChars="200" w:firstLine="643"/>
        <w:rPr>
          <w:b/>
          <w:color w:val="000000"/>
          <w:sz w:val="32"/>
          <w:szCs w:val="32"/>
        </w:rPr>
      </w:pPr>
      <w:r>
        <w:rPr>
          <w:rFonts w:hint="eastAsia"/>
          <w:b/>
          <w:color w:val="000000"/>
          <w:sz w:val="32"/>
          <w:szCs w:val="32"/>
        </w:rPr>
        <w:t>七</w:t>
      </w:r>
      <w:r w:rsidR="00DC28C2">
        <w:rPr>
          <w:b/>
          <w:color w:val="000000"/>
          <w:sz w:val="32"/>
          <w:szCs w:val="32"/>
        </w:rPr>
        <w:t>、</w:t>
      </w:r>
      <w:r w:rsidR="003B709A">
        <w:rPr>
          <w:rFonts w:hint="eastAsia"/>
          <w:b/>
          <w:color w:val="000000"/>
          <w:sz w:val="32"/>
          <w:szCs w:val="32"/>
        </w:rPr>
        <w:t>报告期内关联交易</w:t>
      </w:r>
    </w:p>
    <w:tbl>
      <w:tblPr>
        <w:tblW w:w="8876" w:type="dxa"/>
        <w:tblInd w:w="113" w:type="dxa"/>
        <w:tblLook w:val="04A0" w:firstRow="1" w:lastRow="0" w:firstColumn="1" w:lastColumn="0" w:noHBand="0" w:noVBand="1"/>
      </w:tblPr>
      <w:tblGrid>
        <w:gridCol w:w="796"/>
        <w:gridCol w:w="1258"/>
        <w:gridCol w:w="1100"/>
        <w:gridCol w:w="1100"/>
        <w:gridCol w:w="1100"/>
        <w:gridCol w:w="1120"/>
        <w:gridCol w:w="1126"/>
        <w:gridCol w:w="1276"/>
      </w:tblGrid>
      <w:tr w:rsidR="003B709A" w:rsidRPr="004E0AC7" w:rsidTr="009A6285">
        <w:trPr>
          <w:trHeight w:val="795"/>
        </w:trPr>
        <w:tc>
          <w:tcPr>
            <w:tcW w:w="7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序号</w:t>
            </w:r>
          </w:p>
        </w:tc>
        <w:tc>
          <w:tcPr>
            <w:tcW w:w="1258"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交易时间</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资产名称</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资产类别</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资产代码</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交易数量</w:t>
            </w:r>
          </w:p>
        </w:tc>
        <w:tc>
          <w:tcPr>
            <w:tcW w:w="1126"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交易金额（万元）</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rPr>
                <w:sz w:val="20"/>
                <w:szCs w:val="20"/>
              </w:rPr>
            </w:pPr>
            <w:r w:rsidRPr="004E0AC7">
              <w:rPr>
                <w:rFonts w:hint="eastAsia"/>
                <w:sz w:val="20"/>
                <w:szCs w:val="20"/>
              </w:rPr>
              <w:t>关联方名称</w:t>
            </w:r>
          </w:p>
        </w:tc>
      </w:tr>
      <w:tr w:rsidR="003B709A" w:rsidRPr="004E0AC7" w:rsidTr="009A6285">
        <w:trPr>
          <w:trHeight w:val="565"/>
        </w:trPr>
        <w:tc>
          <w:tcPr>
            <w:tcW w:w="796" w:type="dxa"/>
            <w:tcBorders>
              <w:top w:val="nil"/>
              <w:left w:val="single" w:sz="4" w:space="0" w:color="auto"/>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sz w:val="20"/>
                <w:szCs w:val="20"/>
              </w:rPr>
              <w:t>-</w:t>
            </w:r>
          </w:p>
        </w:tc>
        <w:tc>
          <w:tcPr>
            <w:tcW w:w="1258"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0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0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0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2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26"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276"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r>
    </w:tbl>
    <w:p w:rsidR="003B709A" w:rsidRDefault="009A54C8" w:rsidP="000D2529">
      <w:pPr>
        <w:spacing w:before="120" w:after="120"/>
        <w:ind w:firstLineChars="200" w:firstLine="643"/>
        <w:rPr>
          <w:b/>
          <w:color w:val="000000"/>
          <w:sz w:val="32"/>
          <w:szCs w:val="32"/>
        </w:rPr>
      </w:pPr>
      <w:r>
        <w:rPr>
          <w:rFonts w:hint="eastAsia"/>
          <w:b/>
          <w:color w:val="000000"/>
          <w:sz w:val="32"/>
          <w:szCs w:val="32"/>
        </w:rPr>
        <w:t>八</w:t>
      </w:r>
      <w:r w:rsidR="00CD3C06">
        <w:rPr>
          <w:rFonts w:hint="eastAsia"/>
          <w:b/>
          <w:color w:val="000000"/>
          <w:sz w:val="32"/>
          <w:szCs w:val="32"/>
        </w:rPr>
        <w:t>、</w:t>
      </w:r>
      <w:r w:rsidR="003B709A" w:rsidRPr="000D2529">
        <w:rPr>
          <w:rFonts w:hint="eastAsia"/>
          <w:b/>
          <w:color w:val="000000"/>
          <w:sz w:val="32"/>
          <w:szCs w:val="32"/>
        </w:rPr>
        <w:t>投资</w:t>
      </w:r>
      <w:r w:rsidR="003B709A" w:rsidRPr="000D2529">
        <w:rPr>
          <w:b/>
          <w:color w:val="000000"/>
          <w:sz w:val="32"/>
          <w:szCs w:val="32"/>
        </w:rPr>
        <w:t>组合</w:t>
      </w:r>
      <w:r w:rsidR="00EA09D0" w:rsidRPr="000D2529">
        <w:rPr>
          <w:b/>
          <w:color w:val="000000"/>
          <w:sz w:val="32"/>
          <w:szCs w:val="32"/>
        </w:rPr>
        <w:t>流动性风险分析</w:t>
      </w:r>
      <w:r w:rsidR="00EA09D0" w:rsidRPr="000D2529">
        <w:rPr>
          <w:rFonts w:hint="eastAsia"/>
          <w:b/>
          <w:color w:val="000000"/>
          <w:sz w:val="32"/>
          <w:szCs w:val="32"/>
        </w:rPr>
        <w:t>及</w:t>
      </w:r>
      <w:r w:rsidR="00EA09D0" w:rsidRPr="000D2529">
        <w:rPr>
          <w:b/>
          <w:color w:val="000000"/>
          <w:sz w:val="32"/>
          <w:szCs w:val="32"/>
        </w:rPr>
        <w:t>其他主要投资风险</w:t>
      </w:r>
    </w:p>
    <w:p w:rsidR="00EA09D0" w:rsidRDefault="00EA09D0" w:rsidP="000D2529">
      <w:pPr>
        <w:ind w:firstLineChars="200" w:firstLine="640"/>
        <w:rPr>
          <w:color w:val="000000"/>
          <w:sz w:val="32"/>
          <w:szCs w:val="32"/>
        </w:rPr>
      </w:pPr>
      <w:r>
        <w:rPr>
          <w:color w:val="000000"/>
          <w:sz w:val="32"/>
          <w:szCs w:val="32"/>
        </w:rPr>
        <w:lastRenderedPageBreak/>
        <w:t>（一）投资组合流动性风险分析</w:t>
      </w:r>
    </w:p>
    <w:p w:rsidR="00EA09D0" w:rsidRPr="00001753" w:rsidRDefault="00EA09D0" w:rsidP="00EA09D0">
      <w:pPr>
        <w:ind w:firstLineChars="200" w:firstLine="640"/>
        <w:rPr>
          <w:color w:val="000000"/>
          <w:sz w:val="32"/>
          <w:szCs w:val="32"/>
        </w:rPr>
      </w:pPr>
      <w:r w:rsidRPr="00001753">
        <w:rPr>
          <w:color w:val="000000"/>
          <w:sz w:val="32"/>
          <w:szCs w:val="32"/>
        </w:rPr>
        <w:t>流动性风险是指</w:t>
      </w:r>
      <w:r w:rsidR="008575A5">
        <w:rPr>
          <w:color w:val="000000"/>
          <w:sz w:val="32"/>
          <w:szCs w:val="32"/>
        </w:rPr>
        <w:t>理财</w:t>
      </w:r>
      <w:r w:rsidRPr="00001753">
        <w:rPr>
          <w:color w:val="000000"/>
          <w:sz w:val="32"/>
          <w:szCs w:val="32"/>
        </w:rPr>
        <w:t>产品在履行与金融负债有关的义务时遇到资金短缺的风险。</w:t>
      </w:r>
      <w:r>
        <w:rPr>
          <w:rFonts w:hint="eastAsia"/>
          <w:color w:val="000000"/>
          <w:sz w:val="32"/>
          <w:szCs w:val="32"/>
        </w:rPr>
        <w:t>本理财产品</w:t>
      </w:r>
      <w:r w:rsidRPr="00001753">
        <w:rPr>
          <w:color w:val="000000"/>
          <w:sz w:val="32"/>
          <w:szCs w:val="32"/>
        </w:rPr>
        <w:t xml:space="preserve">的流动性风险一方面来自理财份额持有人可在约定的开放日赎回其持有的理财份额，另一方面来自于若投资品种所处的交易市场不活跃，可能带来资产变现困难或产品持仓资产在市场出现剧烈波动的情况下难以以合理价格变现的风险。 </w:t>
      </w:r>
    </w:p>
    <w:p w:rsidR="00C407A9" w:rsidRDefault="00EA09D0" w:rsidP="00422D64">
      <w:pPr>
        <w:ind w:firstLineChars="200" w:firstLine="640"/>
        <w:rPr>
          <w:color w:val="000000"/>
          <w:sz w:val="32"/>
          <w:szCs w:val="32"/>
        </w:rPr>
      </w:pPr>
      <w:r w:rsidRPr="001243D2">
        <w:rPr>
          <w:color w:val="000000"/>
          <w:sz w:val="32"/>
          <w:szCs w:val="32"/>
        </w:rPr>
        <w:t>为防范无法支付赎回款而产生的流动性风险，本理财产品管理人</w:t>
      </w:r>
      <w:r w:rsidR="00C407A9" w:rsidRPr="001243D2">
        <w:rPr>
          <w:color w:val="000000"/>
          <w:sz w:val="32"/>
          <w:szCs w:val="32"/>
        </w:rPr>
        <w:t>严格遵守相关法律法规以及产品销售协议，对理财产品组合资产的流动性风险进行管理，合理安排所投资产期限，持续根据市场变化情况做好投资安排，尽可能降低产品流动性风险，有效保障理财</w:t>
      </w:r>
      <w:r w:rsidR="00ED0611">
        <w:rPr>
          <w:color w:val="000000"/>
          <w:sz w:val="32"/>
          <w:szCs w:val="32"/>
        </w:rPr>
        <w:t>份额</w:t>
      </w:r>
      <w:r w:rsidR="00C407A9" w:rsidRPr="001243D2">
        <w:rPr>
          <w:color w:val="000000"/>
          <w:sz w:val="32"/>
          <w:szCs w:val="32"/>
        </w:rPr>
        <w:t>持有人利益。报告期内，</w:t>
      </w:r>
      <w:r w:rsidR="00C407A9" w:rsidRPr="001243D2">
        <w:rPr>
          <w:rFonts w:hint="eastAsia"/>
          <w:color w:val="000000"/>
          <w:sz w:val="32"/>
          <w:szCs w:val="32"/>
        </w:rPr>
        <w:t>本理财</w:t>
      </w:r>
      <w:r w:rsidR="00C407A9" w:rsidRPr="001243D2">
        <w:rPr>
          <w:color w:val="000000"/>
          <w:sz w:val="32"/>
          <w:szCs w:val="32"/>
        </w:rPr>
        <w:t>产品组合配置不低于该产品资产净值5%的现金</w:t>
      </w:r>
      <w:r w:rsidR="00C407A9" w:rsidRPr="001243D2">
        <w:rPr>
          <w:rFonts w:hint="eastAsia"/>
          <w:color w:val="000000"/>
          <w:sz w:val="32"/>
          <w:szCs w:val="32"/>
        </w:rPr>
        <w:t>或者</w:t>
      </w:r>
      <w:r w:rsidR="00C407A9" w:rsidRPr="001243D2">
        <w:rPr>
          <w:color w:val="000000"/>
          <w:sz w:val="32"/>
          <w:szCs w:val="32"/>
        </w:rPr>
        <w:t>到期日在一年以内的国债、中央银行票据和政策性金融债；</w:t>
      </w:r>
      <w:r w:rsidR="00233A4D">
        <w:rPr>
          <w:rFonts w:hint="eastAsia"/>
          <w:color w:val="000000"/>
          <w:sz w:val="32"/>
          <w:szCs w:val="32"/>
        </w:rPr>
        <w:t>产品组合</w:t>
      </w:r>
      <w:r w:rsidR="00C407A9" w:rsidRPr="001243D2">
        <w:rPr>
          <w:rFonts w:hint="eastAsia"/>
          <w:color w:val="000000"/>
          <w:sz w:val="32"/>
          <w:szCs w:val="32"/>
        </w:rPr>
        <w:t>杠杆比例较低，组合久期适中</w:t>
      </w:r>
      <w:r w:rsidR="00C407A9">
        <w:rPr>
          <w:rFonts w:hint="eastAsia"/>
          <w:color w:val="000000"/>
          <w:sz w:val="32"/>
          <w:szCs w:val="32"/>
        </w:rPr>
        <w:t>；</w:t>
      </w:r>
      <w:r w:rsidR="00C407A9" w:rsidRPr="001243D2">
        <w:rPr>
          <w:color w:val="000000"/>
          <w:sz w:val="32"/>
          <w:szCs w:val="32"/>
        </w:rPr>
        <w:t>未</w:t>
      </w:r>
      <w:r w:rsidR="00CD3BA1">
        <w:rPr>
          <w:rFonts w:hint="eastAsia"/>
          <w:color w:val="000000"/>
          <w:sz w:val="32"/>
          <w:szCs w:val="32"/>
        </w:rPr>
        <w:t>有</w:t>
      </w:r>
      <w:r w:rsidR="00C407A9" w:rsidRPr="001243D2">
        <w:rPr>
          <w:color w:val="000000"/>
          <w:sz w:val="32"/>
          <w:szCs w:val="32"/>
        </w:rPr>
        <w:t>流动性风险</w:t>
      </w:r>
      <w:r w:rsidR="00CD3BA1">
        <w:rPr>
          <w:color w:val="000000"/>
          <w:sz w:val="32"/>
          <w:szCs w:val="32"/>
        </w:rPr>
        <w:t>情况</w:t>
      </w:r>
      <w:r w:rsidR="00C407A9" w:rsidRPr="001243D2">
        <w:rPr>
          <w:rFonts w:hint="eastAsia"/>
          <w:color w:val="000000"/>
          <w:sz w:val="32"/>
          <w:szCs w:val="32"/>
        </w:rPr>
        <w:t>。</w:t>
      </w:r>
    </w:p>
    <w:p w:rsidR="00EA09D0" w:rsidRPr="00EA09D0" w:rsidRDefault="00EA09D0" w:rsidP="004666AF">
      <w:pPr>
        <w:spacing w:before="120" w:after="120"/>
        <w:ind w:firstLineChars="200" w:firstLine="640"/>
        <w:rPr>
          <w:color w:val="000000"/>
          <w:sz w:val="32"/>
          <w:szCs w:val="32"/>
        </w:rPr>
      </w:pPr>
      <w:r>
        <w:rPr>
          <w:rFonts w:hint="eastAsia"/>
          <w:color w:val="000000"/>
          <w:sz w:val="32"/>
          <w:szCs w:val="32"/>
        </w:rPr>
        <w:t>（二）其他主要投资风险</w:t>
      </w:r>
    </w:p>
    <w:p w:rsidR="006B1C8E" w:rsidRDefault="003B709A" w:rsidP="00674DF1">
      <w:pPr>
        <w:spacing w:before="120" w:after="120"/>
        <w:ind w:firstLineChars="200" w:firstLine="640"/>
        <w:rPr>
          <w:color w:val="000000"/>
          <w:sz w:val="32"/>
          <w:szCs w:val="32"/>
        </w:rPr>
      </w:pPr>
      <w:r w:rsidRPr="002D46B7">
        <w:rPr>
          <w:rFonts w:hint="eastAsia"/>
          <w:color w:val="000000"/>
          <w:sz w:val="32"/>
          <w:szCs w:val="32"/>
        </w:rPr>
        <w:t>信用风险，</w:t>
      </w:r>
      <w:r w:rsidR="00A421AE" w:rsidRPr="00A421AE">
        <w:rPr>
          <w:color w:val="000000"/>
          <w:sz w:val="32"/>
          <w:szCs w:val="32"/>
        </w:rPr>
        <w:t>又称违约风险，是指借款人、证券发行人或交易对方因种种原因，不愿或无力履行合同条件而构成违约，致使银行、投资者或交易对方遭受损失的可能性。</w:t>
      </w:r>
      <w:r w:rsidR="006B1C8E">
        <w:rPr>
          <w:rFonts w:hint="eastAsia"/>
          <w:color w:val="000000"/>
          <w:sz w:val="32"/>
          <w:szCs w:val="32"/>
        </w:rPr>
        <w:t>本理财产品属固定收益</w:t>
      </w:r>
      <w:r w:rsidR="00674DF1">
        <w:rPr>
          <w:rFonts w:hint="eastAsia"/>
          <w:color w:val="000000"/>
          <w:sz w:val="32"/>
          <w:szCs w:val="32"/>
        </w:rPr>
        <w:t>类</w:t>
      </w:r>
      <w:r w:rsidR="006B1C8E">
        <w:rPr>
          <w:rFonts w:hint="eastAsia"/>
          <w:color w:val="000000"/>
          <w:sz w:val="32"/>
          <w:szCs w:val="32"/>
        </w:rPr>
        <w:t>产品，以投资债券和</w:t>
      </w:r>
      <w:r w:rsidR="00717DCF">
        <w:rPr>
          <w:rFonts w:hint="eastAsia"/>
          <w:color w:val="000000"/>
          <w:sz w:val="32"/>
          <w:szCs w:val="32"/>
        </w:rPr>
        <w:t>同业</w:t>
      </w:r>
      <w:r w:rsidR="006B1C8E">
        <w:rPr>
          <w:rFonts w:hint="eastAsia"/>
          <w:color w:val="000000"/>
          <w:sz w:val="32"/>
          <w:szCs w:val="32"/>
        </w:rPr>
        <w:t>存单为主，</w:t>
      </w:r>
      <w:r w:rsidR="006B1C8E" w:rsidRPr="00674DF1">
        <w:rPr>
          <w:color w:val="000000"/>
          <w:sz w:val="32"/>
          <w:szCs w:val="32"/>
        </w:rPr>
        <w:t>为了降低信用风险，本理财</w:t>
      </w:r>
      <w:r w:rsidR="006B1C8E" w:rsidRPr="00674DF1">
        <w:rPr>
          <w:rFonts w:hint="eastAsia"/>
          <w:color w:val="000000"/>
          <w:sz w:val="32"/>
          <w:szCs w:val="32"/>
        </w:rPr>
        <w:t>产品</w:t>
      </w:r>
      <w:r w:rsidR="006B1C8E" w:rsidRPr="00674DF1">
        <w:rPr>
          <w:color w:val="000000"/>
          <w:sz w:val="32"/>
          <w:szCs w:val="32"/>
        </w:rPr>
        <w:t>管理人</w:t>
      </w:r>
      <w:r w:rsidR="00674DF1">
        <w:rPr>
          <w:rFonts w:hint="eastAsia"/>
          <w:color w:val="000000"/>
          <w:sz w:val="32"/>
          <w:szCs w:val="32"/>
        </w:rPr>
        <w:t>主要配置中、高等级债券和同业存单</w:t>
      </w:r>
      <w:r w:rsidR="006B1C8E" w:rsidRPr="00674DF1">
        <w:rPr>
          <w:color w:val="000000"/>
          <w:sz w:val="32"/>
          <w:szCs w:val="32"/>
        </w:rPr>
        <w:t>，并采取分散投资策略</w:t>
      </w:r>
      <w:r w:rsidR="00EC1CC5">
        <w:rPr>
          <w:rFonts w:hint="eastAsia"/>
          <w:color w:val="000000"/>
          <w:sz w:val="32"/>
          <w:szCs w:val="32"/>
        </w:rPr>
        <w:t>。</w:t>
      </w:r>
    </w:p>
    <w:p w:rsidR="00505CA3" w:rsidRDefault="005E12AA" w:rsidP="00674DF1">
      <w:pPr>
        <w:spacing w:before="120" w:after="120"/>
        <w:ind w:firstLineChars="200" w:firstLine="640"/>
        <w:rPr>
          <w:color w:val="000000"/>
          <w:sz w:val="32"/>
          <w:szCs w:val="32"/>
        </w:rPr>
      </w:pPr>
      <w:r w:rsidRPr="005E12AA">
        <w:rPr>
          <w:color w:val="000000"/>
          <w:sz w:val="32"/>
          <w:szCs w:val="32"/>
        </w:rPr>
        <w:lastRenderedPageBreak/>
        <w:t>市场风险</w:t>
      </w:r>
      <w:r w:rsidR="000B2D68">
        <w:rPr>
          <w:color w:val="000000"/>
          <w:sz w:val="32"/>
          <w:szCs w:val="32"/>
        </w:rPr>
        <w:t>，</w:t>
      </w:r>
      <w:r w:rsidR="000B2D68" w:rsidRPr="005E12AA">
        <w:rPr>
          <w:color w:val="000000"/>
          <w:sz w:val="32"/>
          <w:szCs w:val="32"/>
        </w:rPr>
        <w:t>市场风险</w:t>
      </w:r>
      <w:r w:rsidRPr="005E12AA">
        <w:rPr>
          <w:color w:val="000000"/>
          <w:sz w:val="32"/>
          <w:szCs w:val="32"/>
        </w:rPr>
        <w:t>主要包括利率风险</w:t>
      </w:r>
      <w:r w:rsidR="000B2D68">
        <w:rPr>
          <w:rFonts w:hint="eastAsia"/>
          <w:color w:val="000000"/>
          <w:sz w:val="32"/>
          <w:szCs w:val="32"/>
        </w:rPr>
        <w:t>和</w:t>
      </w:r>
      <w:r w:rsidRPr="005E12AA">
        <w:rPr>
          <w:color w:val="000000"/>
          <w:sz w:val="32"/>
          <w:szCs w:val="32"/>
        </w:rPr>
        <w:t>汇率风险。利率风险是指由于市场利率变动导致</w:t>
      </w:r>
      <w:r w:rsidR="00E6389C">
        <w:rPr>
          <w:color w:val="000000"/>
          <w:sz w:val="32"/>
          <w:szCs w:val="32"/>
        </w:rPr>
        <w:t>持仓</w:t>
      </w:r>
      <w:r w:rsidRPr="005E12AA">
        <w:rPr>
          <w:color w:val="000000"/>
          <w:sz w:val="32"/>
          <w:szCs w:val="32"/>
        </w:rPr>
        <w:t>债券价格波动，从而影响</w:t>
      </w:r>
      <w:r w:rsidR="00E6389C">
        <w:rPr>
          <w:color w:val="000000"/>
          <w:sz w:val="32"/>
          <w:szCs w:val="32"/>
        </w:rPr>
        <w:t>理财</w:t>
      </w:r>
      <w:r w:rsidRPr="005E12AA">
        <w:rPr>
          <w:color w:val="000000"/>
          <w:sz w:val="32"/>
          <w:szCs w:val="32"/>
        </w:rPr>
        <w:t>产品收益的风险。汇率风险是指由于汇率变动导致投资组合价值波动的风险。</w:t>
      </w:r>
      <w:r w:rsidR="00505CA3">
        <w:rPr>
          <w:rFonts w:hint="eastAsia"/>
          <w:color w:val="000000"/>
          <w:sz w:val="32"/>
          <w:szCs w:val="32"/>
        </w:rPr>
        <w:t>本理财产品管理人实时关注市场动态和政策变化，持续优化产品组合，分散投资不同期限和种类的债券，加强久期管理，以减轻利率变</w:t>
      </w:r>
      <w:r w:rsidR="00B95E6D">
        <w:rPr>
          <w:rFonts w:hint="eastAsia"/>
          <w:color w:val="000000"/>
          <w:sz w:val="32"/>
          <w:szCs w:val="32"/>
        </w:rPr>
        <w:t>动</w:t>
      </w:r>
      <w:r w:rsidR="00505CA3">
        <w:rPr>
          <w:rFonts w:hint="eastAsia"/>
          <w:color w:val="000000"/>
          <w:sz w:val="32"/>
          <w:szCs w:val="32"/>
        </w:rPr>
        <w:t>对理财产品</w:t>
      </w:r>
      <w:r w:rsidR="00516894">
        <w:rPr>
          <w:rFonts w:hint="eastAsia"/>
          <w:color w:val="000000"/>
          <w:sz w:val="32"/>
          <w:szCs w:val="32"/>
        </w:rPr>
        <w:t>净值</w:t>
      </w:r>
      <w:r w:rsidR="00505CA3">
        <w:rPr>
          <w:rFonts w:hint="eastAsia"/>
          <w:color w:val="000000"/>
          <w:sz w:val="32"/>
          <w:szCs w:val="32"/>
        </w:rPr>
        <w:t>的影响。</w:t>
      </w:r>
    </w:p>
    <w:p w:rsidR="0096347C" w:rsidRDefault="00674DF1" w:rsidP="00674DF1">
      <w:pPr>
        <w:spacing w:before="120" w:after="120"/>
        <w:ind w:firstLineChars="200" w:firstLine="640"/>
        <w:rPr>
          <w:color w:val="000000"/>
          <w:sz w:val="32"/>
          <w:szCs w:val="32"/>
        </w:rPr>
      </w:pPr>
      <w:r w:rsidRPr="00674DF1">
        <w:rPr>
          <w:color w:val="000000"/>
          <w:sz w:val="32"/>
          <w:szCs w:val="32"/>
        </w:rPr>
        <w:t>投资风险</w:t>
      </w:r>
      <w:r>
        <w:rPr>
          <w:rFonts w:hint="eastAsia"/>
          <w:color w:val="000000"/>
          <w:sz w:val="32"/>
          <w:szCs w:val="32"/>
        </w:rPr>
        <w:t>，</w:t>
      </w:r>
      <w:r w:rsidRPr="00674DF1">
        <w:rPr>
          <w:color w:val="000000"/>
          <w:sz w:val="32"/>
          <w:szCs w:val="32"/>
        </w:rPr>
        <w:t>投资风险主要包括投资决策风险和操作风险。投资决策风险是指由于投资决策失误导致投资损失的风险。操作风险是指由于内部管理不善、操作失误等原因导致投资损失的风险</w:t>
      </w:r>
      <w:r>
        <w:rPr>
          <w:color w:val="000000"/>
          <w:sz w:val="32"/>
          <w:szCs w:val="32"/>
        </w:rPr>
        <w:t>。</w:t>
      </w:r>
      <w:r w:rsidR="00505CA3">
        <w:rPr>
          <w:color w:val="000000"/>
          <w:sz w:val="32"/>
          <w:szCs w:val="32"/>
        </w:rPr>
        <w:t>报告期内，</w:t>
      </w:r>
      <w:r w:rsidR="0096347C">
        <w:rPr>
          <w:color w:val="000000"/>
          <w:sz w:val="32"/>
          <w:szCs w:val="32"/>
        </w:rPr>
        <w:t>理财</w:t>
      </w:r>
      <w:r w:rsidR="00505CA3">
        <w:rPr>
          <w:color w:val="000000"/>
          <w:sz w:val="32"/>
          <w:szCs w:val="32"/>
        </w:rPr>
        <w:t>产品管理人严格遵守</w:t>
      </w:r>
      <w:r w:rsidR="0096347C">
        <w:rPr>
          <w:color w:val="000000"/>
          <w:sz w:val="32"/>
          <w:szCs w:val="32"/>
        </w:rPr>
        <w:t>国家有关法律法规</w:t>
      </w:r>
      <w:r w:rsidR="0096347C">
        <w:rPr>
          <w:rFonts w:hint="eastAsia"/>
          <w:color w:val="000000"/>
          <w:sz w:val="32"/>
          <w:szCs w:val="32"/>
        </w:rPr>
        <w:t>和</w:t>
      </w:r>
      <w:r w:rsidR="0096347C">
        <w:rPr>
          <w:color w:val="000000"/>
          <w:sz w:val="32"/>
          <w:szCs w:val="32"/>
        </w:rPr>
        <w:t>监管政策</w:t>
      </w:r>
      <w:r w:rsidR="0096347C">
        <w:rPr>
          <w:rFonts w:hint="eastAsia"/>
          <w:color w:val="000000"/>
          <w:sz w:val="32"/>
          <w:szCs w:val="32"/>
        </w:rPr>
        <w:t>，</w:t>
      </w:r>
      <w:r w:rsidR="0096347C">
        <w:rPr>
          <w:color w:val="000000"/>
          <w:sz w:val="32"/>
          <w:szCs w:val="32"/>
        </w:rPr>
        <w:t>确保投资活动合法合规；严格执行内控机制，落实各岗位之间的合理分工、相互制衡和有效监督</w:t>
      </w:r>
      <w:r w:rsidR="00C134E9">
        <w:rPr>
          <w:rFonts w:hint="eastAsia"/>
          <w:color w:val="000000"/>
          <w:sz w:val="32"/>
          <w:szCs w:val="32"/>
        </w:rPr>
        <w:t>。</w:t>
      </w:r>
    </w:p>
    <w:p w:rsidR="00C134E9" w:rsidRDefault="009A54C8" w:rsidP="008758B5">
      <w:pPr>
        <w:spacing w:before="120" w:after="120"/>
        <w:ind w:firstLineChars="200" w:firstLine="643"/>
        <w:rPr>
          <w:b/>
          <w:color w:val="000000"/>
          <w:sz w:val="32"/>
          <w:szCs w:val="32"/>
        </w:rPr>
      </w:pPr>
      <w:r w:rsidRPr="00121D61">
        <w:rPr>
          <w:rFonts w:hint="eastAsia"/>
          <w:b/>
          <w:color w:val="000000"/>
          <w:sz w:val="32"/>
          <w:szCs w:val="32"/>
        </w:rPr>
        <w:t>九</w:t>
      </w:r>
      <w:r w:rsidR="0062596E" w:rsidRPr="00121D61">
        <w:rPr>
          <w:b/>
          <w:color w:val="000000"/>
          <w:sz w:val="32"/>
          <w:szCs w:val="32"/>
        </w:rPr>
        <w:t>、</w:t>
      </w:r>
      <w:r w:rsidR="003B709A">
        <w:rPr>
          <w:b/>
          <w:color w:val="000000"/>
          <w:sz w:val="32"/>
          <w:szCs w:val="32"/>
        </w:rPr>
        <w:t>期末理财产品投资账户信息</w:t>
      </w:r>
    </w:p>
    <w:tbl>
      <w:tblPr>
        <w:tblStyle w:val="a7"/>
        <w:tblW w:w="8755" w:type="dxa"/>
        <w:tblLayout w:type="fixed"/>
        <w:tblLook w:val="04A0" w:firstRow="1" w:lastRow="0" w:firstColumn="1" w:lastColumn="0" w:noHBand="0" w:noVBand="1"/>
      </w:tblPr>
      <w:tblGrid>
        <w:gridCol w:w="675"/>
        <w:gridCol w:w="1134"/>
        <w:gridCol w:w="2694"/>
        <w:gridCol w:w="2409"/>
        <w:gridCol w:w="1843"/>
      </w:tblGrid>
      <w:tr w:rsidR="003B709A" w:rsidRPr="00001753" w:rsidTr="0048552C">
        <w:trPr>
          <w:trHeight w:val="479"/>
        </w:trPr>
        <w:tc>
          <w:tcPr>
            <w:tcW w:w="675" w:type="dxa"/>
          </w:tcPr>
          <w:p w:rsidR="003B709A" w:rsidRPr="00845B54" w:rsidRDefault="003B709A" w:rsidP="0048552C">
            <w:pPr>
              <w:spacing w:before="120" w:after="120"/>
              <w:jc w:val="center"/>
              <w:rPr>
                <w:color w:val="000000"/>
                <w:sz w:val="20"/>
                <w:szCs w:val="20"/>
              </w:rPr>
            </w:pPr>
            <w:r>
              <w:rPr>
                <w:color w:val="000000"/>
                <w:sz w:val="20"/>
                <w:szCs w:val="20"/>
              </w:rPr>
              <w:t>序号</w:t>
            </w:r>
          </w:p>
        </w:tc>
        <w:tc>
          <w:tcPr>
            <w:tcW w:w="1134" w:type="dxa"/>
          </w:tcPr>
          <w:p w:rsidR="003B709A" w:rsidRPr="00845B54" w:rsidRDefault="003B709A" w:rsidP="0048552C">
            <w:pPr>
              <w:spacing w:before="120" w:after="120"/>
              <w:jc w:val="center"/>
              <w:rPr>
                <w:color w:val="000000"/>
                <w:sz w:val="20"/>
                <w:szCs w:val="20"/>
              </w:rPr>
            </w:pPr>
            <w:r w:rsidRPr="00845B54">
              <w:rPr>
                <w:color w:val="000000"/>
                <w:sz w:val="20"/>
                <w:szCs w:val="20"/>
              </w:rPr>
              <w:t>账户类型</w:t>
            </w:r>
          </w:p>
        </w:tc>
        <w:tc>
          <w:tcPr>
            <w:tcW w:w="2694" w:type="dxa"/>
          </w:tcPr>
          <w:p w:rsidR="003B709A" w:rsidRPr="00845B54" w:rsidRDefault="003B709A" w:rsidP="0048552C">
            <w:pPr>
              <w:spacing w:before="120" w:after="120"/>
              <w:jc w:val="center"/>
              <w:rPr>
                <w:color w:val="000000"/>
                <w:sz w:val="20"/>
                <w:szCs w:val="20"/>
              </w:rPr>
            </w:pPr>
            <w:r w:rsidRPr="00845B54">
              <w:rPr>
                <w:color w:val="000000"/>
                <w:sz w:val="20"/>
                <w:szCs w:val="20"/>
              </w:rPr>
              <w:t>账户名称</w:t>
            </w:r>
          </w:p>
        </w:tc>
        <w:tc>
          <w:tcPr>
            <w:tcW w:w="2409" w:type="dxa"/>
          </w:tcPr>
          <w:p w:rsidR="003B709A" w:rsidRPr="00845B54" w:rsidRDefault="003B709A" w:rsidP="0048552C">
            <w:pPr>
              <w:spacing w:before="120" w:after="120"/>
              <w:jc w:val="center"/>
              <w:rPr>
                <w:color w:val="000000"/>
                <w:sz w:val="20"/>
                <w:szCs w:val="20"/>
              </w:rPr>
            </w:pPr>
            <w:r>
              <w:rPr>
                <w:rFonts w:hint="eastAsia"/>
                <w:color w:val="000000"/>
                <w:sz w:val="20"/>
                <w:szCs w:val="20"/>
              </w:rPr>
              <w:t>账户</w:t>
            </w:r>
            <w:r>
              <w:rPr>
                <w:color w:val="000000"/>
                <w:sz w:val="20"/>
                <w:szCs w:val="20"/>
              </w:rPr>
              <w:t>编号</w:t>
            </w:r>
          </w:p>
        </w:tc>
        <w:tc>
          <w:tcPr>
            <w:tcW w:w="1843" w:type="dxa"/>
          </w:tcPr>
          <w:p w:rsidR="003B709A" w:rsidRPr="00845B54" w:rsidRDefault="003B709A" w:rsidP="0048552C">
            <w:pPr>
              <w:spacing w:before="120" w:after="120"/>
              <w:jc w:val="center"/>
              <w:rPr>
                <w:color w:val="000000"/>
                <w:sz w:val="20"/>
                <w:szCs w:val="20"/>
              </w:rPr>
            </w:pPr>
            <w:r w:rsidRPr="00845B54">
              <w:rPr>
                <w:color w:val="000000"/>
                <w:sz w:val="20"/>
                <w:szCs w:val="20"/>
              </w:rPr>
              <w:t>开户单位</w:t>
            </w:r>
          </w:p>
        </w:tc>
      </w:tr>
      <w:tr w:rsidR="003B709A" w:rsidRPr="00001753" w:rsidTr="0048552C">
        <w:trPr>
          <w:trHeight w:val="1195"/>
        </w:trPr>
        <w:tc>
          <w:tcPr>
            <w:tcW w:w="675" w:type="dxa"/>
            <w:vAlign w:val="center"/>
          </w:tcPr>
          <w:p w:rsidR="003B709A" w:rsidRPr="00845B54" w:rsidRDefault="003B709A" w:rsidP="0048552C">
            <w:pPr>
              <w:spacing w:before="120" w:after="120"/>
              <w:jc w:val="center"/>
              <w:rPr>
                <w:color w:val="000000"/>
                <w:sz w:val="20"/>
                <w:szCs w:val="20"/>
              </w:rPr>
            </w:pPr>
            <w:r>
              <w:rPr>
                <w:rFonts w:hint="eastAsia"/>
                <w:color w:val="000000"/>
                <w:sz w:val="20"/>
                <w:szCs w:val="20"/>
              </w:rPr>
              <w:t>1</w:t>
            </w:r>
          </w:p>
        </w:tc>
        <w:tc>
          <w:tcPr>
            <w:tcW w:w="1134" w:type="dxa"/>
            <w:vAlign w:val="center"/>
          </w:tcPr>
          <w:p w:rsidR="003B709A" w:rsidRPr="00845B54" w:rsidRDefault="003B709A" w:rsidP="0048552C">
            <w:pPr>
              <w:spacing w:before="120" w:after="120"/>
              <w:jc w:val="center"/>
              <w:rPr>
                <w:color w:val="000000"/>
                <w:sz w:val="20"/>
                <w:szCs w:val="20"/>
              </w:rPr>
            </w:pPr>
            <w:r w:rsidRPr="00845B54">
              <w:rPr>
                <w:color w:val="000000"/>
                <w:sz w:val="20"/>
                <w:szCs w:val="20"/>
              </w:rPr>
              <w:t>托管户</w:t>
            </w:r>
          </w:p>
        </w:tc>
        <w:tc>
          <w:tcPr>
            <w:tcW w:w="2694" w:type="dxa"/>
            <w:vAlign w:val="center"/>
          </w:tcPr>
          <w:p w:rsidR="003B709A" w:rsidRPr="00845B54" w:rsidRDefault="003B709A" w:rsidP="0048552C">
            <w:pPr>
              <w:spacing w:before="120" w:after="120"/>
              <w:jc w:val="center"/>
              <w:rPr>
                <w:color w:val="000000"/>
                <w:sz w:val="20"/>
                <w:szCs w:val="20"/>
              </w:rPr>
            </w:pPr>
            <w:r w:rsidRPr="00845B54">
              <w:rPr>
                <w:color w:val="000000"/>
                <w:sz w:val="20"/>
                <w:szCs w:val="20"/>
              </w:rPr>
              <w:t>家银理财</w:t>
            </w:r>
            <w:r w:rsidRPr="00845B54">
              <w:rPr>
                <w:rFonts w:hint="eastAsia"/>
                <w:color w:val="000000"/>
                <w:sz w:val="20"/>
                <w:szCs w:val="20"/>
              </w:rPr>
              <w:t>-瑞稳持有期限3</w:t>
            </w:r>
            <w:r w:rsidRPr="00845B54">
              <w:rPr>
                <w:color w:val="000000"/>
                <w:sz w:val="20"/>
                <w:szCs w:val="20"/>
              </w:rPr>
              <w:t>22天开放式固定收益类净值型理财产品</w:t>
            </w:r>
          </w:p>
        </w:tc>
        <w:tc>
          <w:tcPr>
            <w:tcW w:w="2409" w:type="dxa"/>
            <w:vAlign w:val="center"/>
          </w:tcPr>
          <w:p w:rsidR="003B709A" w:rsidRPr="00845B54" w:rsidRDefault="003B709A" w:rsidP="0048552C">
            <w:pPr>
              <w:spacing w:before="120" w:after="120"/>
              <w:jc w:val="center"/>
              <w:rPr>
                <w:color w:val="000000"/>
                <w:sz w:val="20"/>
                <w:szCs w:val="20"/>
              </w:rPr>
            </w:pPr>
            <w:r w:rsidRPr="00845B54">
              <w:rPr>
                <w:rFonts w:hint="eastAsia"/>
                <w:color w:val="000000"/>
                <w:sz w:val="20"/>
                <w:szCs w:val="20"/>
              </w:rPr>
              <w:t>7</w:t>
            </w:r>
            <w:r w:rsidRPr="00845B54">
              <w:rPr>
                <w:color w:val="000000"/>
                <w:sz w:val="20"/>
                <w:szCs w:val="20"/>
              </w:rPr>
              <w:t>79701220000821120004</w:t>
            </w:r>
          </w:p>
        </w:tc>
        <w:tc>
          <w:tcPr>
            <w:tcW w:w="1843" w:type="dxa"/>
            <w:vAlign w:val="center"/>
          </w:tcPr>
          <w:p w:rsidR="003B709A" w:rsidRPr="00845B54" w:rsidRDefault="003B709A" w:rsidP="0048552C">
            <w:pPr>
              <w:spacing w:before="120" w:after="120"/>
              <w:jc w:val="center"/>
              <w:rPr>
                <w:color w:val="000000"/>
                <w:sz w:val="20"/>
                <w:szCs w:val="20"/>
              </w:rPr>
            </w:pPr>
            <w:r w:rsidRPr="00845B54">
              <w:rPr>
                <w:color w:val="000000"/>
                <w:sz w:val="20"/>
                <w:szCs w:val="20"/>
              </w:rPr>
              <w:t>宁波银行股份有限公司北京分行</w:t>
            </w:r>
          </w:p>
        </w:tc>
      </w:tr>
    </w:tbl>
    <w:p w:rsidR="003B709A" w:rsidRPr="00980DC0" w:rsidRDefault="009A54C8" w:rsidP="00FE6A46">
      <w:pPr>
        <w:spacing w:before="120" w:after="120"/>
        <w:ind w:firstLineChars="200" w:firstLine="643"/>
        <w:rPr>
          <w:b/>
          <w:color w:val="000000"/>
          <w:sz w:val="32"/>
          <w:szCs w:val="32"/>
        </w:rPr>
      </w:pPr>
      <w:r>
        <w:rPr>
          <w:rFonts w:hint="eastAsia"/>
          <w:b/>
          <w:color w:val="000000"/>
          <w:sz w:val="32"/>
          <w:szCs w:val="32"/>
        </w:rPr>
        <w:t>十</w:t>
      </w:r>
      <w:r w:rsidR="005E101C">
        <w:rPr>
          <w:b/>
          <w:color w:val="000000"/>
          <w:sz w:val="32"/>
          <w:szCs w:val="32"/>
        </w:rPr>
        <w:t>、</w:t>
      </w:r>
      <w:r w:rsidR="003B709A">
        <w:rPr>
          <w:b/>
          <w:color w:val="000000"/>
          <w:sz w:val="32"/>
          <w:szCs w:val="32"/>
        </w:rPr>
        <w:t>期末理</w:t>
      </w:r>
      <w:r w:rsidR="003B709A" w:rsidRPr="00980DC0">
        <w:rPr>
          <w:b/>
          <w:color w:val="000000"/>
          <w:sz w:val="32"/>
          <w:szCs w:val="32"/>
        </w:rPr>
        <w:t>财产品</w:t>
      </w:r>
      <w:r w:rsidR="003B709A" w:rsidRPr="00980DC0">
        <w:rPr>
          <w:rFonts w:hint="eastAsia"/>
          <w:b/>
          <w:color w:val="000000"/>
          <w:sz w:val="32"/>
          <w:szCs w:val="32"/>
        </w:rPr>
        <w:t>杠杆水平</w:t>
      </w:r>
    </w:p>
    <w:p w:rsidR="003B709A" w:rsidRPr="00001753" w:rsidRDefault="003B709A" w:rsidP="003B709A">
      <w:pPr>
        <w:spacing w:before="120" w:after="120"/>
        <w:ind w:firstLineChars="200" w:firstLine="640"/>
        <w:rPr>
          <w:color w:val="000000"/>
          <w:sz w:val="32"/>
          <w:szCs w:val="32"/>
        </w:rPr>
      </w:pPr>
      <w:r>
        <w:rPr>
          <w:rFonts w:hint="eastAsia"/>
          <w:color w:val="000000"/>
          <w:sz w:val="32"/>
          <w:szCs w:val="32"/>
        </w:rPr>
        <w:t>报告期末，</w:t>
      </w:r>
      <w:r w:rsidR="008575A5">
        <w:rPr>
          <w:rFonts w:hint="eastAsia"/>
          <w:color w:val="000000"/>
          <w:sz w:val="32"/>
          <w:szCs w:val="32"/>
        </w:rPr>
        <w:t>本理财</w:t>
      </w:r>
      <w:r>
        <w:rPr>
          <w:rFonts w:hint="eastAsia"/>
          <w:color w:val="000000"/>
          <w:sz w:val="32"/>
          <w:szCs w:val="32"/>
        </w:rPr>
        <w:t>产品组合</w:t>
      </w:r>
      <w:r w:rsidRPr="00001753">
        <w:rPr>
          <w:rFonts w:hint="eastAsia"/>
          <w:color w:val="000000"/>
          <w:sz w:val="32"/>
          <w:szCs w:val="32"/>
        </w:rPr>
        <w:t>的杠杆</w:t>
      </w:r>
      <w:r w:rsidR="008575A5">
        <w:rPr>
          <w:rFonts w:hint="eastAsia"/>
          <w:color w:val="000000"/>
          <w:sz w:val="32"/>
          <w:szCs w:val="32"/>
        </w:rPr>
        <w:t>水平</w:t>
      </w:r>
      <w:r w:rsidRPr="00001753">
        <w:rPr>
          <w:rFonts w:hint="eastAsia"/>
          <w:color w:val="000000"/>
          <w:sz w:val="32"/>
          <w:szCs w:val="32"/>
        </w:rPr>
        <w:t>为</w:t>
      </w:r>
      <w:r w:rsidRPr="00495221">
        <w:rPr>
          <w:color w:val="000000"/>
          <w:sz w:val="32"/>
          <w:szCs w:val="32"/>
        </w:rPr>
        <w:t>10</w:t>
      </w:r>
      <w:r w:rsidR="00023522">
        <w:rPr>
          <w:color w:val="000000"/>
          <w:sz w:val="32"/>
          <w:szCs w:val="32"/>
        </w:rPr>
        <w:t>1.09</w:t>
      </w:r>
      <w:r w:rsidRPr="00495221">
        <w:rPr>
          <w:rFonts w:hint="eastAsia"/>
          <w:color w:val="000000"/>
          <w:sz w:val="32"/>
          <w:szCs w:val="32"/>
        </w:rPr>
        <w:t>%。</w:t>
      </w:r>
    </w:p>
    <w:p w:rsidR="003B709A" w:rsidRPr="00980DC0" w:rsidRDefault="009A54C8" w:rsidP="00FE6A46">
      <w:pPr>
        <w:spacing w:before="120" w:after="120"/>
        <w:ind w:firstLineChars="200" w:firstLine="643"/>
        <w:rPr>
          <w:b/>
          <w:color w:val="000000"/>
          <w:sz w:val="32"/>
          <w:szCs w:val="32"/>
        </w:rPr>
      </w:pPr>
      <w:r w:rsidRPr="00980DC0">
        <w:rPr>
          <w:b/>
          <w:color w:val="000000"/>
          <w:sz w:val="32"/>
          <w:szCs w:val="32"/>
        </w:rPr>
        <w:t>十一、</w:t>
      </w:r>
      <w:r w:rsidR="003D5397">
        <w:rPr>
          <w:b/>
          <w:color w:val="000000"/>
          <w:sz w:val="32"/>
          <w:szCs w:val="32"/>
        </w:rPr>
        <w:t>影响投资者决策的</w:t>
      </w:r>
      <w:r w:rsidR="003B709A" w:rsidRPr="00980DC0">
        <w:rPr>
          <w:rFonts w:hint="eastAsia"/>
          <w:b/>
          <w:color w:val="000000"/>
          <w:sz w:val="32"/>
          <w:szCs w:val="32"/>
        </w:rPr>
        <w:t>其他重要信息</w:t>
      </w:r>
    </w:p>
    <w:p w:rsidR="000A2193" w:rsidRPr="000A2193" w:rsidRDefault="000A2193" w:rsidP="00A47CED">
      <w:pPr>
        <w:ind w:firstLineChars="231" w:firstLine="739"/>
        <w:rPr>
          <w:color w:val="000000"/>
          <w:sz w:val="32"/>
          <w:szCs w:val="32"/>
        </w:rPr>
      </w:pPr>
      <w:bookmarkStart w:id="9" w:name="OLE_LINK14"/>
      <w:bookmarkStart w:id="10" w:name="OLE_LINK15"/>
      <w:r>
        <w:rPr>
          <w:rFonts w:hint="eastAsia"/>
          <w:color w:val="000000"/>
          <w:sz w:val="32"/>
          <w:szCs w:val="32"/>
        </w:rPr>
        <w:lastRenderedPageBreak/>
        <w:t>受监管政策影响</w:t>
      </w:r>
      <w:r w:rsidRPr="000A2193">
        <w:rPr>
          <w:color w:val="000000"/>
          <w:sz w:val="32"/>
          <w:szCs w:val="32"/>
        </w:rPr>
        <w:t>，</w:t>
      </w:r>
      <w:r w:rsidRPr="000A2193">
        <w:rPr>
          <w:rFonts w:hint="eastAsia"/>
          <w:color w:val="000000"/>
          <w:sz w:val="32"/>
          <w:szCs w:val="32"/>
        </w:rPr>
        <w:t>本</w:t>
      </w:r>
      <w:r w:rsidRPr="000A2193">
        <w:rPr>
          <w:color w:val="000000"/>
          <w:sz w:val="32"/>
          <w:szCs w:val="32"/>
        </w:rPr>
        <w:t>理财产品规模逐步</w:t>
      </w:r>
      <w:r w:rsidRPr="000A2193">
        <w:rPr>
          <w:rFonts w:hint="eastAsia"/>
          <w:color w:val="000000"/>
          <w:sz w:val="32"/>
          <w:szCs w:val="32"/>
        </w:rPr>
        <w:t>下降</w:t>
      </w:r>
      <w:r w:rsidRPr="000A2193">
        <w:rPr>
          <w:color w:val="000000"/>
          <w:sz w:val="32"/>
          <w:szCs w:val="32"/>
        </w:rPr>
        <w:t>，在此期间</w:t>
      </w:r>
      <w:r>
        <w:rPr>
          <w:color w:val="000000"/>
          <w:sz w:val="32"/>
          <w:szCs w:val="32"/>
        </w:rPr>
        <w:t>产品组合持有的“</w:t>
      </w:r>
      <w:r>
        <w:rPr>
          <w:rFonts w:hint="eastAsia"/>
          <w:color w:val="000000"/>
          <w:sz w:val="32"/>
          <w:szCs w:val="32"/>
        </w:rPr>
        <w:t>1</w:t>
      </w:r>
      <w:r>
        <w:rPr>
          <w:color w:val="000000"/>
          <w:sz w:val="32"/>
          <w:szCs w:val="32"/>
        </w:rPr>
        <w:t>6唐山农商二级”</w:t>
      </w:r>
      <w:r w:rsidRPr="000A2193">
        <w:rPr>
          <w:color w:val="000000"/>
          <w:sz w:val="32"/>
          <w:szCs w:val="32"/>
        </w:rPr>
        <w:t>由于其流动性偏弱，暂时</w:t>
      </w:r>
      <w:r w:rsidR="00592928">
        <w:rPr>
          <w:color w:val="000000"/>
          <w:sz w:val="32"/>
          <w:szCs w:val="32"/>
        </w:rPr>
        <w:t>被动</w:t>
      </w:r>
      <w:r w:rsidRPr="000A2193">
        <w:rPr>
          <w:color w:val="000000"/>
          <w:sz w:val="32"/>
          <w:szCs w:val="32"/>
        </w:rPr>
        <w:t>突破监管上限，持仓</w:t>
      </w:r>
      <w:r>
        <w:rPr>
          <w:color w:val="000000"/>
          <w:sz w:val="32"/>
          <w:szCs w:val="32"/>
        </w:rPr>
        <w:t>市值金额</w:t>
      </w:r>
      <w:r w:rsidRPr="00A47CED">
        <w:rPr>
          <w:rFonts w:hint="eastAsia"/>
          <w:color w:val="000000"/>
          <w:sz w:val="32"/>
          <w:szCs w:val="32"/>
        </w:rPr>
        <w:t>10,061.18</w:t>
      </w:r>
      <w:r>
        <w:rPr>
          <w:rFonts w:hint="eastAsia"/>
          <w:color w:val="000000"/>
          <w:sz w:val="32"/>
          <w:szCs w:val="32"/>
        </w:rPr>
        <w:t>万元，</w:t>
      </w:r>
      <w:r w:rsidRPr="0081565D">
        <w:rPr>
          <w:rFonts w:hint="eastAsia"/>
          <w:color w:val="000000"/>
          <w:sz w:val="32"/>
          <w:szCs w:val="32"/>
        </w:rPr>
        <w:t>占产品资产净值</w:t>
      </w:r>
      <w:r w:rsidR="0073787A">
        <w:rPr>
          <w:rFonts w:hint="eastAsia"/>
          <w:color w:val="000000"/>
          <w:sz w:val="32"/>
          <w:szCs w:val="32"/>
        </w:rPr>
        <w:t>的</w:t>
      </w:r>
      <w:r w:rsidRPr="0081565D">
        <w:rPr>
          <w:rFonts w:hint="eastAsia"/>
          <w:color w:val="000000"/>
          <w:sz w:val="32"/>
          <w:szCs w:val="32"/>
        </w:rPr>
        <w:t>比</w:t>
      </w:r>
      <w:r w:rsidR="0073787A">
        <w:rPr>
          <w:rFonts w:hint="eastAsia"/>
          <w:color w:val="000000"/>
          <w:sz w:val="32"/>
          <w:szCs w:val="32"/>
        </w:rPr>
        <w:t>例</w:t>
      </w:r>
      <w:r w:rsidRPr="0081565D">
        <w:rPr>
          <w:rFonts w:hint="eastAsia"/>
          <w:color w:val="000000"/>
          <w:sz w:val="32"/>
          <w:szCs w:val="32"/>
        </w:rPr>
        <w:t>为</w:t>
      </w:r>
      <w:r w:rsidRPr="0081565D">
        <w:rPr>
          <w:color w:val="000000"/>
          <w:sz w:val="32"/>
          <w:szCs w:val="32"/>
        </w:rPr>
        <w:t>10.6</w:t>
      </w:r>
      <w:r w:rsidR="008B56E5">
        <w:rPr>
          <w:color w:val="000000"/>
          <w:sz w:val="32"/>
          <w:szCs w:val="32"/>
        </w:rPr>
        <w:t>2</w:t>
      </w:r>
      <w:r w:rsidRPr="0081565D">
        <w:rPr>
          <w:rFonts w:hint="eastAsia"/>
          <w:color w:val="000000"/>
          <w:sz w:val="32"/>
          <w:szCs w:val="32"/>
        </w:rPr>
        <w:t>%</w:t>
      </w:r>
      <w:r>
        <w:rPr>
          <w:rFonts w:hint="eastAsia"/>
          <w:color w:val="000000"/>
          <w:sz w:val="32"/>
          <w:szCs w:val="32"/>
        </w:rPr>
        <w:t>。</w:t>
      </w:r>
      <w:r w:rsidRPr="000A2193">
        <w:rPr>
          <w:color w:val="000000"/>
          <w:sz w:val="32"/>
          <w:szCs w:val="32"/>
        </w:rPr>
        <w:t>我行已高度关注该指标，将会积极采取措施，保障投资人利益。</w:t>
      </w:r>
      <w:bookmarkEnd w:id="9"/>
      <w:bookmarkEnd w:id="10"/>
    </w:p>
    <w:p w:rsidR="00A47CED" w:rsidRDefault="00FE6A46" w:rsidP="00A47CED">
      <w:pPr>
        <w:ind w:firstLineChars="231" w:firstLine="739"/>
        <w:rPr>
          <w:color w:val="000000"/>
          <w:sz w:val="32"/>
          <w:szCs w:val="32"/>
        </w:rPr>
      </w:pPr>
      <w:r>
        <w:rPr>
          <w:rFonts w:hint="eastAsia"/>
          <w:color w:val="000000"/>
          <w:sz w:val="32"/>
          <w:szCs w:val="32"/>
        </w:rPr>
        <w:t>报告期末，本理财</w:t>
      </w:r>
      <w:r w:rsidRPr="005C63C4">
        <w:rPr>
          <w:rFonts w:hint="eastAsia"/>
          <w:color w:val="000000"/>
          <w:sz w:val="32"/>
          <w:szCs w:val="32"/>
        </w:rPr>
        <w:t>产品组合</w:t>
      </w:r>
      <w:r w:rsidRPr="00001753">
        <w:rPr>
          <w:rFonts w:hint="eastAsia"/>
          <w:color w:val="000000"/>
          <w:sz w:val="32"/>
          <w:szCs w:val="32"/>
        </w:rPr>
        <w:t>持有现金</w:t>
      </w:r>
      <w:r>
        <w:rPr>
          <w:rFonts w:hint="eastAsia"/>
          <w:color w:val="000000"/>
          <w:sz w:val="32"/>
          <w:szCs w:val="32"/>
        </w:rPr>
        <w:t>或者到期日在一年以内的</w:t>
      </w:r>
      <w:r w:rsidRPr="00001753">
        <w:rPr>
          <w:rFonts w:hint="eastAsia"/>
          <w:color w:val="000000"/>
          <w:sz w:val="32"/>
          <w:szCs w:val="32"/>
        </w:rPr>
        <w:t>国债、中央银行票据</w:t>
      </w:r>
      <w:r>
        <w:rPr>
          <w:rFonts w:hint="eastAsia"/>
          <w:color w:val="000000"/>
          <w:sz w:val="32"/>
          <w:szCs w:val="32"/>
        </w:rPr>
        <w:t>和</w:t>
      </w:r>
      <w:r w:rsidRPr="00001753">
        <w:rPr>
          <w:rFonts w:hint="eastAsia"/>
          <w:color w:val="000000"/>
          <w:sz w:val="32"/>
          <w:szCs w:val="32"/>
        </w:rPr>
        <w:t>政策性金融债券</w:t>
      </w:r>
      <w:r w:rsidRPr="00101163">
        <w:rPr>
          <w:rFonts w:hint="eastAsia"/>
          <w:color w:val="000000"/>
          <w:sz w:val="32"/>
          <w:szCs w:val="32"/>
        </w:rPr>
        <w:t>占</w:t>
      </w:r>
      <w:r>
        <w:rPr>
          <w:rFonts w:hint="eastAsia"/>
          <w:color w:val="000000"/>
          <w:sz w:val="32"/>
          <w:szCs w:val="32"/>
        </w:rPr>
        <w:t>该理财</w:t>
      </w:r>
      <w:r w:rsidRPr="00101163">
        <w:rPr>
          <w:rFonts w:hint="eastAsia"/>
          <w:color w:val="000000"/>
          <w:sz w:val="32"/>
          <w:szCs w:val="32"/>
        </w:rPr>
        <w:t>产品资产净值的比例为</w:t>
      </w:r>
      <w:r w:rsidR="004E6A5D">
        <w:rPr>
          <w:color w:val="000000"/>
          <w:sz w:val="32"/>
          <w:szCs w:val="32"/>
        </w:rPr>
        <w:t>5.</w:t>
      </w:r>
      <w:r w:rsidR="00023522">
        <w:rPr>
          <w:color w:val="000000"/>
          <w:sz w:val="32"/>
          <w:szCs w:val="32"/>
        </w:rPr>
        <w:t>79</w:t>
      </w:r>
      <w:r w:rsidRPr="00101163">
        <w:rPr>
          <w:rFonts w:hint="eastAsia"/>
          <w:color w:val="000000"/>
          <w:sz w:val="32"/>
          <w:szCs w:val="32"/>
        </w:rPr>
        <w:t>%</w:t>
      </w:r>
      <w:r w:rsidR="000A2193">
        <w:rPr>
          <w:rFonts w:hint="eastAsia"/>
          <w:color w:val="000000"/>
          <w:sz w:val="32"/>
          <w:szCs w:val="32"/>
        </w:rPr>
        <w:t>。</w:t>
      </w:r>
    </w:p>
    <w:p w:rsidR="00250719" w:rsidRDefault="00250719" w:rsidP="00A47CED">
      <w:pPr>
        <w:ind w:firstLineChars="231" w:firstLine="742"/>
        <w:rPr>
          <w:b/>
          <w:color w:val="000000"/>
          <w:sz w:val="32"/>
          <w:szCs w:val="32"/>
        </w:rPr>
      </w:pPr>
      <w:r w:rsidRPr="00250719">
        <w:rPr>
          <w:b/>
          <w:color w:val="000000"/>
          <w:sz w:val="32"/>
          <w:szCs w:val="32"/>
        </w:rPr>
        <w:t>十二、托管人报告</w:t>
      </w:r>
    </w:p>
    <w:p w:rsidR="00A53547" w:rsidRDefault="00A53547" w:rsidP="00A53547">
      <w:r>
        <w:rPr>
          <w:noProof/>
        </w:rPr>
        <w:drawing>
          <wp:inline distT="0" distB="0" distL="0" distR="0" wp14:anchorId="2D292B09" wp14:editId="0E387514">
            <wp:extent cx="5505450" cy="4362450"/>
            <wp:effectExtent l="0" t="0" r="0" b="0"/>
            <wp:docPr id="5" name="图片 5" descr="C:\Users\yang'yang\AppData\Roaming\Tencent\Users\360065596\QQ\WinTemp\RichOle\A`PLPG8NC@~LMMR7{H`NO(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ang'yang\AppData\Roaming\Tencent\Users\360065596\QQ\WinTemp\RichOle\A`PLPG8NC@~LMMR7{H`NO(5.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05450" cy="4362450"/>
                    </a:xfrm>
                    <a:prstGeom prst="rect">
                      <a:avLst/>
                    </a:prstGeom>
                    <a:noFill/>
                    <a:ln>
                      <a:noFill/>
                    </a:ln>
                  </pic:spPr>
                </pic:pic>
              </a:graphicData>
            </a:graphic>
          </wp:inline>
        </w:drawing>
      </w:r>
    </w:p>
    <w:p w:rsidR="00A53547" w:rsidRDefault="00A53547" w:rsidP="00A53547"/>
    <w:p w:rsidR="00A53547" w:rsidRDefault="00A53547" w:rsidP="00A53547">
      <w:r>
        <w:rPr>
          <w:noProof/>
        </w:rPr>
        <w:lastRenderedPageBreak/>
        <w:drawing>
          <wp:inline distT="0" distB="0" distL="0" distR="0" wp14:anchorId="7860C307" wp14:editId="216F215B">
            <wp:extent cx="5514975" cy="3162300"/>
            <wp:effectExtent l="0" t="0" r="9525" b="0"/>
            <wp:docPr id="1" name="图片 1" descr="C:\Users\yang'yang\AppData\Roaming\Tencent\Users\360065596\QQ\WinTemp\RichOle\PO@OWJDEE)E6LDUL[ZGZZ(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ng'yang\AppData\Roaming\Tencent\Users\360065596\QQ\WinTemp\RichOle\PO@OWJDEE)E6LDUL[ZGZZ(I.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14975" cy="3162300"/>
                    </a:xfrm>
                    <a:prstGeom prst="rect">
                      <a:avLst/>
                    </a:prstGeom>
                    <a:noFill/>
                    <a:ln>
                      <a:noFill/>
                    </a:ln>
                  </pic:spPr>
                </pic:pic>
              </a:graphicData>
            </a:graphic>
          </wp:inline>
        </w:drawing>
      </w:r>
    </w:p>
    <w:p w:rsidR="00A53547" w:rsidRDefault="00A53547" w:rsidP="00A53547"/>
    <w:p w:rsidR="0027502F" w:rsidRPr="00901240" w:rsidRDefault="0027502F" w:rsidP="0027502F">
      <w:pPr>
        <w:ind w:firstLineChars="200" w:firstLine="640"/>
        <w:rPr>
          <w:color w:val="000000"/>
          <w:sz w:val="32"/>
          <w:szCs w:val="32"/>
        </w:rPr>
      </w:pPr>
    </w:p>
    <w:sectPr w:rsidR="0027502F" w:rsidRPr="00901240" w:rsidSect="00E4582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34A1" w:rsidRDefault="001534A1" w:rsidP="0009424B">
      <w:r>
        <w:separator/>
      </w:r>
    </w:p>
  </w:endnote>
  <w:endnote w:type="continuationSeparator" w:id="0">
    <w:p w:rsidR="001534A1" w:rsidRDefault="001534A1" w:rsidP="000942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9195209"/>
      <w:docPartObj>
        <w:docPartGallery w:val="Page Numbers (Bottom of Page)"/>
        <w:docPartUnique/>
      </w:docPartObj>
    </w:sdtPr>
    <w:sdtEndPr/>
    <w:sdtContent>
      <w:p w:rsidR="00171ABD" w:rsidRDefault="00171ABD">
        <w:pPr>
          <w:pStyle w:val="a4"/>
          <w:jc w:val="center"/>
        </w:pPr>
        <w:r>
          <w:fldChar w:fldCharType="begin"/>
        </w:r>
        <w:r>
          <w:instrText>PAGE   \* MERGEFORMAT</w:instrText>
        </w:r>
        <w:r>
          <w:fldChar w:fldCharType="separate"/>
        </w:r>
        <w:r w:rsidR="000B2875" w:rsidRPr="000B2875">
          <w:rPr>
            <w:noProof/>
            <w:lang w:val="zh-CN"/>
          </w:rPr>
          <w:t>3</w:t>
        </w:r>
        <w:r>
          <w:fldChar w:fldCharType="end"/>
        </w:r>
      </w:p>
    </w:sdtContent>
  </w:sdt>
  <w:p w:rsidR="00171ABD" w:rsidRDefault="00171AB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34A1" w:rsidRDefault="001534A1" w:rsidP="0009424B">
      <w:r>
        <w:separator/>
      </w:r>
    </w:p>
  </w:footnote>
  <w:footnote w:type="continuationSeparator" w:id="0">
    <w:p w:rsidR="001534A1" w:rsidRDefault="001534A1" w:rsidP="000942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E4F15"/>
    <w:multiLevelType w:val="hybridMultilevel"/>
    <w:tmpl w:val="CA2C9DB8"/>
    <w:lvl w:ilvl="0" w:tplc="A5A8986A">
      <w:start w:val="1"/>
      <w:numFmt w:val="japaneseCounting"/>
      <w:lvlText w:val="（%1）"/>
      <w:lvlJc w:val="left"/>
      <w:pPr>
        <w:ind w:left="1080" w:hanging="1080"/>
      </w:pPr>
      <w:rPr>
        <w:rFonts w:hint="default"/>
        <w:b/>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CB33A89"/>
    <w:multiLevelType w:val="hybridMultilevel"/>
    <w:tmpl w:val="D66214FE"/>
    <w:lvl w:ilvl="0" w:tplc="5ACA88B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3885E93"/>
    <w:multiLevelType w:val="multilevel"/>
    <w:tmpl w:val="0CA44F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7011E8"/>
    <w:multiLevelType w:val="hybridMultilevel"/>
    <w:tmpl w:val="4596EEDE"/>
    <w:lvl w:ilvl="0" w:tplc="66F2EC96">
      <w:start w:val="1"/>
      <w:numFmt w:val="japaneseCounting"/>
      <w:lvlText w:val="%1、"/>
      <w:lvlJc w:val="left"/>
      <w:pPr>
        <w:ind w:left="720" w:hanging="720"/>
      </w:pPr>
      <w:rPr>
        <w:rFonts w:cs="Arial" w:hint="default"/>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AEA0834"/>
    <w:multiLevelType w:val="hybridMultilevel"/>
    <w:tmpl w:val="B3D44124"/>
    <w:lvl w:ilvl="0" w:tplc="B9F22A3C">
      <w:start w:val="1"/>
      <w:numFmt w:val="japaneseCounting"/>
      <w:lvlText w:val="（%1）"/>
      <w:lvlJc w:val="left"/>
      <w:pPr>
        <w:ind w:left="1080" w:hanging="1080"/>
      </w:pPr>
      <w:rPr>
        <w:rFonts w:hint="default"/>
        <w:b/>
        <w:color w:val="000000"/>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3FD3C2D"/>
    <w:multiLevelType w:val="hybridMultilevel"/>
    <w:tmpl w:val="BED45952"/>
    <w:lvl w:ilvl="0" w:tplc="683A029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7B25FC9"/>
    <w:multiLevelType w:val="hybridMultilevel"/>
    <w:tmpl w:val="94ACF5FC"/>
    <w:lvl w:ilvl="0" w:tplc="49C699E0">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FCA7B92"/>
    <w:multiLevelType w:val="hybridMultilevel"/>
    <w:tmpl w:val="EFF04DCA"/>
    <w:lvl w:ilvl="0" w:tplc="BF6AF4CC">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15:restartNumberingAfterBreak="0">
    <w:nsid w:val="68833226"/>
    <w:multiLevelType w:val="hybridMultilevel"/>
    <w:tmpl w:val="BD866726"/>
    <w:lvl w:ilvl="0" w:tplc="0FEC4CFC">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4"/>
  </w:num>
  <w:num w:numId="4">
    <w:abstractNumId w:val="7"/>
  </w:num>
  <w:num w:numId="5">
    <w:abstractNumId w:val="1"/>
  </w:num>
  <w:num w:numId="6">
    <w:abstractNumId w:val="5"/>
  </w:num>
  <w:num w:numId="7">
    <w:abstractNumId w:val="8"/>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F6F54"/>
    <w:rsid w:val="00000533"/>
    <w:rsid w:val="00001753"/>
    <w:rsid w:val="00001BE6"/>
    <w:rsid w:val="000056B9"/>
    <w:rsid w:val="0000608D"/>
    <w:rsid w:val="00010B38"/>
    <w:rsid w:val="0001285B"/>
    <w:rsid w:val="0001411D"/>
    <w:rsid w:val="000160D1"/>
    <w:rsid w:val="00017348"/>
    <w:rsid w:val="00020D15"/>
    <w:rsid w:val="00023522"/>
    <w:rsid w:val="00027904"/>
    <w:rsid w:val="00030E3E"/>
    <w:rsid w:val="000327B9"/>
    <w:rsid w:val="00032B94"/>
    <w:rsid w:val="00032E16"/>
    <w:rsid w:val="00033339"/>
    <w:rsid w:val="00034749"/>
    <w:rsid w:val="00045AE4"/>
    <w:rsid w:val="00045B12"/>
    <w:rsid w:val="00052AF5"/>
    <w:rsid w:val="00062334"/>
    <w:rsid w:val="00062732"/>
    <w:rsid w:val="00062889"/>
    <w:rsid w:val="00062C45"/>
    <w:rsid w:val="0006368C"/>
    <w:rsid w:val="00063A3E"/>
    <w:rsid w:val="00064001"/>
    <w:rsid w:val="00065881"/>
    <w:rsid w:val="00067977"/>
    <w:rsid w:val="00071477"/>
    <w:rsid w:val="00071D13"/>
    <w:rsid w:val="000733EB"/>
    <w:rsid w:val="000758F1"/>
    <w:rsid w:val="00076521"/>
    <w:rsid w:val="0007786E"/>
    <w:rsid w:val="00080A43"/>
    <w:rsid w:val="00082E44"/>
    <w:rsid w:val="00085C01"/>
    <w:rsid w:val="0009424B"/>
    <w:rsid w:val="00096E72"/>
    <w:rsid w:val="0009723C"/>
    <w:rsid w:val="000A1D78"/>
    <w:rsid w:val="000A2193"/>
    <w:rsid w:val="000A2894"/>
    <w:rsid w:val="000A441E"/>
    <w:rsid w:val="000A50F3"/>
    <w:rsid w:val="000B2875"/>
    <w:rsid w:val="000B2D68"/>
    <w:rsid w:val="000B3862"/>
    <w:rsid w:val="000B516C"/>
    <w:rsid w:val="000B6B33"/>
    <w:rsid w:val="000B6B45"/>
    <w:rsid w:val="000C2722"/>
    <w:rsid w:val="000D2529"/>
    <w:rsid w:val="000E1242"/>
    <w:rsid w:val="000E4B73"/>
    <w:rsid w:val="000E4D7D"/>
    <w:rsid w:val="000E6B1F"/>
    <w:rsid w:val="000E6BF5"/>
    <w:rsid w:val="000E7AAD"/>
    <w:rsid w:val="000F3473"/>
    <w:rsid w:val="000F3A66"/>
    <w:rsid w:val="00101163"/>
    <w:rsid w:val="00101487"/>
    <w:rsid w:val="00105514"/>
    <w:rsid w:val="001059AE"/>
    <w:rsid w:val="00106242"/>
    <w:rsid w:val="001123A6"/>
    <w:rsid w:val="00112C03"/>
    <w:rsid w:val="00116B3E"/>
    <w:rsid w:val="00120557"/>
    <w:rsid w:val="00121D61"/>
    <w:rsid w:val="001243D2"/>
    <w:rsid w:val="0013027D"/>
    <w:rsid w:val="00131BF0"/>
    <w:rsid w:val="00132898"/>
    <w:rsid w:val="00136447"/>
    <w:rsid w:val="001416C0"/>
    <w:rsid w:val="001444CA"/>
    <w:rsid w:val="001462C8"/>
    <w:rsid w:val="001505A1"/>
    <w:rsid w:val="0015064D"/>
    <w:rsid w:val="0015342C"/>
    <w:rsid w:val="001534A1"/>
    <w:rsid w:val="00154285"/>
    <w:rsid w:val="0015664B"/>
    <w:rsid w:val="00160F47"/>
    <w:rsid w:val="0016580B"/>
    <w:rsid w:val="00165990"/>
    <w:rsid w:val="00166B28"/>
    <w:rsid w:val="00171ABD"/>
    <w:rsid w:val="00173151"/>
    <w:rsid w:val="00173AA1"/>
    <w:rsid w:val="00176956"/>
    <w:rsid w:val="00177132"/>
    <w:rsid w:val="001803E7"/>
    <w:rsid w:val="00186E8A"/>
    <w:rsid w:val="00187E6B"/>
    <w:rsid w:val="001B1B61"/>
    <w:rsid w:val="001C49CD"/>
    <w:rsid w:val="001C4F8D"/>
    <w:rsid w:val="001D4CB5"/>
    <w:rsid w:val="001E0074"/>
    <w:rsid w:val="001E1AA9"/>
    <w:rsid w:val="001E1BE2"/>
    <w:rsid w:val="001E72C4"/>
    <w:rsid w:val="001E79EE"/>
    <w:rsid w:val="001F0983"/>
    <w:rsid w:val="001F7302"/>
    <w:rsid w:val="00203C54"/>
    <w:rsid w:val="00204C8A"/>
    <w:rsid w:val="00204DC7"/>
    <w:rsid w:val="00204FB8"/>
    <w:rsid w:val="002050E1"/>
    <w:rsid w:val="00205AC3"/>
    <w:rsid w:val="00207C2D"/>
    <w:rsid w:val="00207EE4"/>
    <w:rsid w:val="002111AE"/>
    <w:rsid w:val="00212582"/>
    <w:rsid w:val="0022211D"/>
    <w:rsid w:val="0022350C"/>
    <w:rsid w:val="00230506"/>
    <w:rsid w:val="0023067D"/>
    <w:rsid w:val="00230893"/>
    <w:rsid w:val="00232E6E"/>
    <w:rsid w:val="00233A4D"/>
    <w:rsid w:val="00234090"/>
    <w:rsid w:val="00234E17"/>
    <w:rsid w:val="002361A0"/>
    <w:rsid w:val="00237A98"/>
    <w:rsid w:val="00237BD4"/>
    <w:rsid w:val="00237F59"/>
    <w:rsid w:val="00250719"/>
    <w:rsid w:val="00253AF9"/>
    <w:rsid w:val="0026070F"/>
    <w:rsid w:val="00260B3E"/>
    <w:rsid w:val="00260ED2"/>
    <w:rsid w:val="00263417"/>
    <w:rsid w:val="00267EA3"/>
    <w:rsid w:val="002732AE"/>
    <w:rsid w:val="00273F20"/>
    <w:rsid w:val="002740A9"/>
    <w:rsid w:val="0027502F"/>
    <w:rsid w:val="002776E9"/>
    <w:rsid w:val="00282F97"/>
    <w:rsid w:val="00283188"/>
    <w:rsid w:val="00286053"/>
    <w:rsid w:val="00286C90"/>
    <w:rsid w:val="0029131C"/>
    <w:rsid w:val="00292CE2"/>
    <w:rsid w:val="00293B70"/>
    <w:rsid w:val="0029455B"/>
    <w:rsid w:val="00294B0B"/>
    <w:rsid w:val="00294D14"/>
    <w:rsid w:val="002950C8"/>
    <w:rsid w:val="0029512B"/>
    <w:rsid w:val="0029585D"/>
    <w:rsid w:val="002974CA"/>
    <w:rsid w:val="002A2391"/>
    <w:rsid w:val="002A37B3"/>
    <w:rsid w:val="002A3E12"/>
    <w:rsid w:val="002B179E"/>
    <w:rsid w:val="002B4BB4"/>
    <w:rsid w:val="002B68C0"/>
    <w:rsid w:val="002C001F"/>
    <w:rsid w:val="002C14D7"/>
    <w:rsid w:val="002C2599"/>
    <w:rsid w:val="002C2F07"/>
    <w:rsid w:val="002C57E7"/>
    <w:rsid w:val="002C7165"/>
    <w:rsid w:val="002D1D86"/>
    <w:rsid w:val="002D406C"/>
    <w:rsid w:val="002D46B7"/>
    <w:rsid w:val="002D56B1"/>
    <w:rsid w:val="002D5A99"/>
    <w:rsid w:val="002D73E2"/>
    <w:rsid w:val="002E2715"/>
    <w:rsid w:val="002F1F80"/>
    <w:rsid w:val="002F2600"/>
    <w:rsid w:val="002F4729"/>
    <w:rsid w:val="002F6E26"/>
    <w:rsid w:val="002F78B9"/>
    <w:rsid w:val="00303B44"/>
    <w:rsid w:val="00304C78"/>
    <w:rsid w:val="00312900"/>
    <w:rsid w:val="003130E4"/>
    <w:rsid w:val="0032317C"/>
    <w:rsid w:val="00324563"/>
    <w:rsid w:val="00326F28"/>
    <w:rsid w:val="00330E3A"/>
    <w:rsid w:val="00332A6E"/>
    <w:rsid w:val="003336CE"/>
    <w:rsid w:val="00337A8E"/>
    <w:rsid w:val="00346DAC"/>
    <w:rsid w:val="00347B25"/>
    <w:rsid w:val="00350597"/>
    <w:rsid w:val="00350CE3"/>
    <w:rsid w:val="0035239F"/>
    <w:rsid w:val="00353319"/>
    <w:rsid w:val="00353728"/>
    <w:rsid w:val="003552BF"/>
    <w:rsid w:val="00355EC7"/>
    <w:rsid w:val="00360A52"/>
    <w:rsid w:val="00370DBC"/>
    <w:rsid w:val="00370E68"/>
    <w:rsid w:val="00381EC6"/>
    <w:rsid w:val="003848B0"/>
    <w:rsid w:val="003853F2"/>
    <w:rsid w:val="00386C1B"/>
    <w:rsid w:val="00386ED2"/>
    <w:rsid w:val="0039606C"/>
    <w:rsid w:val="00397D8D"/>
    <w:rsid w:val="003A0E37"/>
    <w:rsid w:val="003A34B1"/>
    <w:rsid w:val="003A439F"/>
    <w:rsid w:val="003A696F"/>
    <w:rsid w:val="003B0613"/>
    <w:rsid w:val="003B709A"/>
    <w:rsid w:val="003C0A5D"/>
    <w:rsid w:val="003C0DAD"/>
    <w:rsid w:val="003D11CF"/>
    <w:rsid w:val="003D3E2F"/>
    <w:rsid w:val="003D46CD"/>
    <w:rsid w:val="003D50DC"/>
    <w:rsid w:val="003D5397"/>
    <w:rsid w:val="003E0C00"/>
    <w:rsid w:val="003E1F8C"/>
    <w:rsid w:val="003E3A34"/>
    <w:rsid w:val="003E4FF2"/>
    <w:rsid w:val="003E71B0"/>
    <w:rsid w:val="003F29CF"/>
    <w:rsid w:val="003F6F54"/>
    <w:rsid w:val="003F70BB"/>
    <w:rsid w:val="00404B34"/>
    <w:rsid w:val="004130E0"/>
    <w:rsid w:val="004206C1"/>
    <w:rsid w:val="00422D64"/>
    <w:rsid w:val="00425817"/>
    <w:rsid w:val="00425F75"/>
    <w:rsid w:val="00427422"/>
    <w:rsid w:val="0043151E"/>
    <w:rsid w:val="0043700F"/>
    <w:rsid w:val="00437122"/>
    <w:rsid w:val="0044073B"/>
    <w:rsid w:val="00441A9B"/>
    <w:rsid w:val="004430FB"/>
    <w:rsid w:val="00456267"/>
    <w:rsid w:val="00460B5F"/>
    <w:rsid w:val="00463522"/>
    <w:rsid w:val="004649FD"/>
    <w:rsid w:val="00465D7E"/>
    <w:rsid w:val="004666AF"/>
    <w:rsid w:val="00467BB8"/>
    <w:rsid w:val="004729FA"/>
    <w:rsid w:val="0047505E"/>
    <w:rsid w:val="004774F4"/>
    <w:rsid w:val="00480AA9"/>
    <w:rsid w:val="00481217"/>
    <w:rsid w:val="00482873"/>
    <w:rsid w:val="00485B07"/>
    <w:rsid w:val="00486A88"/>
    <w:rsid w:val="00487C74"/>
    <w:rsid w:val="00491171"/>
    <w:rsid w:val="00492855"/>
    <w:rsid w:val="00493289"/>
    <w:rsid w:val="00495221"/>
    <w:rsid w:val="004A3776"/>
    <w:rsid w:val="004B399D"/>
    <w:rsid w:val="004C0172"/>
    <w:rsid w:val="004C3DAF"/>
    <w:rsid w:val="004C5FA0"/>
    <w:rsid w:val="004E0AC7"/>
    <w:rsid w:val="004E23FC"/>
    <w:rsid w:val="004E31AA"/>
    <w:rsid w:val="004E6A5D"/>
    <w:rsid w:val="004F0130"/>
    <w:rsid w:val="004F337A"/>
    <w:rsid w:val="005049B9"/>
    <w:rsid w:val="00504B55"/>
    <w:rsid w:val="00505CA3"/>
    <w:rsid w:val="00507855"/>
    <w:rsid w:val="00515244"/>
    <w:rsid w:val="00515761"/>
    <w:rsid w:val="005159F7"/>
    <w:rsid w:val="00516894"/>
    <w:rsid w:val="00517067"/>
    <w:rsid w:val="00521862"/>
    <w:rsid w:val="00522F63"/>
    <w:rsid w:val="005230FF"/>
    <w:rsid w:val="00526EF6"/>
    <w:rsid w:val="00530660"/>
    <w:rsid w:val="00531554"/>
    <w:rsid w:val="0053377D"/>
    <w:rsid w:val="0054376D"/>
    <w:rsid w:val="00547F0C"/>
    <w:rsid w:val="00551B68"/>
    <w:rsid w:val="00552E85"/>
    <w:rsid w:val="005551E8"/>
    <w:rsid w:val="0056081F"/>
    <w:rsid w:val="00565DDE"/>
    <w:rsid w:val="00567752"/>
    <w:rsid w:val="0057290F"/>
    <w:rsid w:val="00573D91"/>
    <w:rsid w:val="00581B27"/>
    <w:rsid w:val="00581D6C"/>
    <w:rsid w:val="00583E72"/>
    <w:rsid w:val="005876F3"/>
    <w:rsid w:val="00590D3A"/>
    <w:rsid w:val="00592928"/>
    <w:rsid w:val="005948D3"/>
    <w:rsid w:val="005A0BC2"/>
    <w:rsid w:val="005A139F"/>
    <w:rsid w:val="005A28D3"/>
    <w:rsid w:val="005A4082"/>
    <w:rsid w:val="005A4E9E"/>
    <w:rsid w:val="005B070D"/>
    <w:rsid w:val="005B12B5"/>
    <w:rsid w:val="005B311E"/>
    <w:rsid w:val="005B484A"/>
    <w:rsid w:val="005B6EDA"/>
    <w:rsid w:val="005C5AF7"/>
    <w:rsid w:val="005C6263"/>
    <w:rsid w:val="005C6568"/>
    <w:rsid w:val="005D1436"/>
    <w:rsid w:val="005D4B7B"/>
    <w:rsid w:val="005E101C"/>
    <w:rsid w:val="005E12AA"/>
    <w:rsid w:val="005F49DE"/>
    <w:rsid w:val="005F7F41"/>
    <w:rsid w:val="00602824"/>
    <w:rsid w:val="0060384E"/>
    <w:rsid w:val="00613593"/>
    <w:rsid w:val="00615056"/>
    <w:rsid w:val="006172CE"/>
    <w:rsid w:val="006178FF"/>
    <w:rsid w:val="00622FE6"/>
    <w:rsid w:val="00625482"/>
    <w:rsid w:val="0062596E"/>
    <w:rsid w:val="00625A7B"/>
    <w:rsid w:val="00625F6C"/>
    <w:rsid w:val="00626362"/>
    <w:rsid w:val="0062684D"/>
    <w:rsid w:val="006279E1"/>
    <w:rsid w:val="00637B44"/>
    <w:rsid w:val="0064060A"/>
    <w:rsid w:val="006423E5"/>
    <w:rsid w:val="00642672"/>
    <w:rsid w:val="00645850"/>
    <w:rsid w:val="0064788F"/>
    <w:rsid w:val="00647DA2"/>
    <w:rsid w:val="006543F8"/>
    <w:rsid w:val="00663741"/>
    <w:rsid w:val="006717E6"/>
    <w:rsid w:val="00671E85"/>
    <w:rsid w:val="00674DF1"/>
    <w:rsid w:val="006771FD"/>
    <w:rsid w:val="00677B1F"/>
    <w:rsid w:val="00680AF9"/>
    <w:rsid w:val="00684619"/>
    <w:rsid w:val="00687B24"/>
    <w:rsid w:val="00691202"/>
    <w:rsid w:val="006953A9"/>
    <w:rsid w:val="006A1408"/>
    <w:rsid w:val="006A3838"/>
    <w:rsid w:val="006B05DF"/>
    <w:rsid w:val="006B1C8E"/>
    <w:rsid w:val="006B2A01"/>
    <w:rsid w:val="006B4385"/>
    <w:rsid w:val="006C64E0"/>
    <w:rsid w:val="006C67B7"/>
    <w:rsid w:val="006D0522"/>
    <w:rsid w:val="006D1D06"/>
    <w:rsid w:val="006D2D36"/>
    <w:rsid w:val="006D6031"/>
    <w:rsid w:val="006D7785"/>
    <w:rsid w:val="006D788A"/>
    <w:rsid w:val="006D7E33"/>
    <w:rsid w:val="006E113F"/>
    <w:rsid w:val="006E23B8"/>
    <w:rsid w:val="006F3A07"/>
    <w:rsid w:val="006F4196"/>
    <w:rsid w:val="00701B1F"/>
    <w:rsid w:val="007048FB"/>
    <w:rsid w:val="00704D6B"/>
    <w:rsid w:val="00706DA1"/>
    <w:rsid w:val="007075E8"/>
    <w:rsid w:val="00710994"/>
    <w:rsid w:val="00713E14"/>
    <w:rsid w:val="0071794C"/>
    <w:rsid w:val="00717DCF"/>
    <w:rsid w:val="0072003F"/>
    <w:rsid w:val="00721C3A"/>
    <w:rsid w:val="007331BB"/>
    <w:rsid w:val="00734E2B"/>
    <w:rsid w:val="00735ACB"/>
    <w:rsid w:val="0073787A"/>
    <w:rsid w:val="00745056"/>
    <w:rsid w:val="0075262A"/>
    <w:rsid w:val="00754749"/>
    <w:rsid w:val="00755DAD"/>
    <w:rsid w:val="00762738"/>
    <w:rsid w:val="007628CA"/>
    <w:rsid w:val="0076691C"/>
    <w:rsid w:val="00767282"/>
    <w:rsid w:val="00772074"/>
    <w:rsid w:val="007773B7"/>
    <w:rsid w:val="00784AEF"/>
    <w:rsid w:val="007908C4"/>
    <w:rsid w:val="00791C11"/>
    <w:rsid w:val="00792387"/>
    <w:rsid w:val="00792E07"/>
    <w:rsid w:val="0079323E"/>
    <w:rsid w:val="007936E0"/>
    <w:rsid w:val="00794776"/>
    <w:rsid w:val="007A2FF2"/>
    <w:rsid w:val="007A4C14"/>
    <w:rsid w:val="007A6B02"/>
    <w:rsid w:val="007B0999"/>
    <w:rsid w:val="007B2F24"/>
    <w:rsid w:val="007B3C3B"/>
    <w:rsid w:val="007B5A34"/>
    <w:rsid w:val="007B68E3"/>
    <w:rsid w:val="007B6AF4"/>
    <w:rsid w:val="007C370D"/>
    <w:rsid w:val="007C7D42"/>
    <w:rsid w:val="007D04AC"/>
    <w:rsid w:val="007D075A"/>
    <w:rsid w:val="007D2061"/>
    <w:rsid w:val="007D5E05"/>
    <w:rsid w:val="007D65C6"/>
    <w:rsid w:val="007E16B4"/>
    <w:rsid w:val="007E1755"/>
    <w:rsid w:val="007E2BE9"/>
    <w:rsid w:val="007E3499"/>
    <w:rsid w:val="007E635E"/>
    <w:rsid w:val="007F4244"/>
    <w:rsid w:val="00806CB9"/>
    <w:rsid w:val="00814A77"/>
    <w:rsid w:val="0081565D"/>
    <w:rsid w:val="008201B4"/>
    <w:rsid w:val="00820F25"/>
    <w:rsid w:val="0082146B"/>
    <w:rsid w:val="008215B8"/>
    <w:rsid w:val="00821DA5"/>
    <w:rsid w:val="00821F0B"/>
    <w:rsid w:val="00822DCD"/>
    <w:rsid w:val="00823575"/>
    <w:rsid w:val="0082523C"/>
    <w:rsid w:val="008274A9"/>
    <w:rsid w:val="0084000F"/>
    <w:rsid w:val="00841835"/>
    <w:rsid w:val="008420C4"/>
    <w:rsid w:val="0084526B"/>
    <w:rsid w:val="00845B54"/>
    <w:rsid w:val="008472B1"/>
    <w:rsid w:val="00852691"/>
    <w:rsid w:val="008556DA"/>
    <w:rsid w:val="008575A5"/>
    <w:rsid w:val="008600CA"/>
    <w:rsid w:val="00873EDE"/>
    <w:rsid w:val="008758B5"/>
    <w:rsid w:val="00882CBD"/>
    <w:rsid w:val="00885E9F"/>
    <w:rsid w:val="008A4E84"/>
    <w:rsid w:val="008A55DB"/>
    <w:rsid w:val="008B16AF"/>
    <w:rsid w:val="008B56E5"/>
    <w:rsid w:val="008B5E02"/>
    <w:rsid w:val="008B5E28"/>
    <w:rsid w:val="008B6BAB"/>
    <w:rsid w:val="008B7288"/>
    <w:rsid w:val="008C2D5C"/>
    <w:rsid w:val="008C462A"/>
    <w:rsid w:val="008C5DE7"/>
    <w:rsid w:val="008D06A6"/>
    <w:rsid w:val="008D7FD5"/>
    <w:rsid w:val="008E09B2"/>
    <w:rsid w:val="008E14AB"/>
    <w:rsid w:val="008E1974"/>
    <w:rsid w:val="008E4D86"/>
    <w:rsid w:val="008F073E"/>
    <w:rsid w:val="008F262F"/>
    <w:rsid w:val="008F2CF8"/>
    <w:rsid w:val="008F70CC"/>
    <w:rsid w:val="008F72D2"/>
    <w:rsid w:val="00901240"/>
    <w:rsid w:val="009028F0"/>
    <w:rsid w:val="0090312D"/>
    <w:rsid w:val="00903AE8"/>
    <w:rsid w:val="00906323"/>
    <w:rsid w:val="00910601"/>
    <w:rsid w:val="00913B38"/>
    <w:rsid w:val="009170B6"/>
    <w:rsid w:val="00917D4F"/>
    <w:rsid w:val="00921AE4"/>
    <w:rsid w:val="0092247A"/>
    <w:rsid w:val="00923D62"/>
    <w:rsid w:val="00925B78"/>
    <w:rsid w:val="00932047"/>
    <w:rsid w:val="00932D40"/>
    <w:rsid w:val="00936EF2"/>
    <w:rsid w:val="00943852"/>
    <w:rsid w:val="00943A6D"/>
    <w:rsid w:val="00945423"/>
    <w:rsid w:val="009500BF"/>
    <w:rsid w:val="009527EA"/>
    <w:rsid w:val="009528CB"/>
    <w:rsid w:val="009537EF"/>
    <w:rsid w:val="00954039"/>
    <w:rsid w:val="00954F58"/>
    <w:rsid w:val="00955631"/>
    <w:rsid w:val="0096347C"/>
    <w:rsid w:val="00972F4C"/>
    <w:rsid w:val="00977A1A"/>
    <w:rsid w:val="00980A70"/>
    <w:rsid w:val="00980DC0"/>
    <w:rsid w:val="00981586"/>
    <w:rsid w:val="00993750"/>
    <w:rsid w:val="009A54C8"/>
    <w:rsid w:val="009B2DDB"/>
    <w:rsid w:val="009B3D63"/>
    <w:rsid w:val="009B47A0"/>
    <w:rsid w:val="009B55F5"/>
    <w:rsid w:val="009C1129"/>
    <w:rsid w:val="009C3D5C"/>
    <w:rsid w:val="009C56E0"/>
    <w:rsid w:val="009C7073"/>
    <w:rsid w:val="009C7DA7"/>
    <w:rsid w:val="009D54B7"/>
    <w:rsid w:val="009D649D"/>
    <w:rsid w:val="009E250A"/>
    <w:rsid w:val="009E4810"/>
    <w:rsid w:val="009E79F0"/>
    <w:rsid w:val="009F1824"/>
    <w:rsid w:val="009F1E7F"/>
    <w:rsid w:val="009F6C6F"/>
    <w:rsid w:val="009F6E74"/>
    <w:rsid w:val="009F7F30"/>
    <w:rsid w:val="00A00637"/>
    <w:rsid w:val="00A07D03"/>
    <w:rsid w:val="00A11480"/>
    <w:rsid w:val="00A11EEE"/>
    <w:rsid w:val="00A141A3"/>
    <w:rsid w:val="00A22049"/>
    <w:rsid w:val="00A228C3"/>
    <w:rsid w:val="00A2379F"/>
    <w:rsid w:val="00A258BF"/>
    <w:rsid w:val="00A25D74"/>
    <w:rsid w:val="00A26198"/>
    <w:rsid w:val="00A26D97"/>
    <w:rsid w:val="00A27074"/>
    <w:rsid w:val="00A27482"/>
    <w:rsid w:val="00A27512"/>
    <w:rsid w:val="00A3002A"/>
    <w:rsid w:val="00A31AF8"/>
    <w:rsid w:val="00A31BA7"/>
    <w:rsid w:val="00A33BC2"/>
    <w:rsid w:val="00A34D81"/>
    <w:rsid w:val="00A36AE1"/>
    <w:rsid w:val="00A42182"/>
    <w:rsid w:val="00A421AE"/>
    <w:rsid w:val="00A44C90"/>
    <w:rsid w:val="00A47CED"/>
    <w:rsid w:val="00A5140E"/>
    <w:rsid w:val="00A53547"/>
    <w:rsid w:val="00A5465D"/>
    <w:rsid w:val="00A566F6"/>
    <w:rsid w:val="00A60B58"/>
    <w:rsid w:val="00A61504"/>
    <w:rsid w:val="00A62FEF"/>
    <w:rsid w:val="00A66E21"/>
    <w:rsid w:val="00A84771"/>
    <w:rsid w:val="00A847C1"/>
    <w:rsid w:val="00A84E2C"/>
    <w:rsid w:val="00A90D84"/>
    <w:rsid w:val="00A95A32"/>
    <w:rsid w:val="00AA395D"/>
    <w:rsid w:val="00AA73F7"/>
    <w:rsid w:val="00AA7939"/>
    <w:rsid w:val="00AB51D9"/>
    <w:rsid w:val="00AB628F"/>
    <w:rsid w:val="00AC39E2"/>
    <w:rsid w:val="00AC3B24"/>
    <w:rsid w:val="00AC4304"/>
    <w:rsid w:val="00AC6895"/>
    <w:rsid w:val="00AD28A0"/>
    <w:rsid w:val="00AD3541"/>
    <w:rsid w:val="00AE196D"/>
    <w:rsid w:val="00AE2628"/>
    <w:rsid w:val="00AE3A00"/>
    <w:rsid w:val="00AE434A"/>
    <w:rsid w:val="00AE4779"/>
    <w:rsid w:val="00AF2AC3"/>
    <w:rsid w:val="00B01CDA"/>
    <w:rsid w:val="00B12D06"/>
    <w:rsid w:val="00B13294"/>
    <w:rsid w:val="00B1794A"/>
    <w:rsid w:val="00B200AC"/>
    <w:rsid w:val="00B2081F"/>
    <w:rsid w:val="00B20C93"/>
    <w:rsid w:val="00B365F3"/>
    <w:rsid w:val="00B428A8"/>
    <w:rsid w:val="00B42D8D"/>
    <w:rsid w:val="00B4794B"/>
    <w:rsid w:val="00B528E1"/>
    <w:rsid w:val="00B533C5"/>
    <w:rsid w:val="00B6785E"/>
    <w:rsid w:val="00B73480"/>
    <w:rsid w:val="00B740E0"/>
    <w:rsid w:val="00B75E7E"/>
    <w:rsid w:val="00B801BB"/>
    <w:rsid w:val="00B8044C"/>
    <w:rsid w:val="00B86BA8"/>
    <w:rsid w:val="00B86F89"/>
    <w:rsid w:val="00B93BB7"/>
    <w:rsid w:val="00B93FB6"/>
    <w:rsid w:val="00B95E6D"/>
    <w:rsid w:val="00BA083C"/>
    <w:rsid w:val="00BA0A2C"/>
    <w:rsid w:val="00BA1B44"/>
    <w:rsid w:val="00BA1F90"/>
    <w:rsid w:val="00BB0A8E"/>
    <w:rsid w:val="00BB502C"/>
    <w:rsid w:val="00BB56FC"/>
    <w:rsid w:val="00BB685A"/>
    <w:rsid w:val="00BC1E17"/>
    <w:rsid w:val="00BC324E"/>
    <w:rsid w:val="00BC363E"/>
    <w:rsid w:val="00BC3A0F"/>
    <w:rsid w:val="00BC4FFC"/>
    <w:rsid w:val="00BD693D"/>
    <w:rsid w:val="00BE5CAA"/>
    <w:rsid w:val="00BE6DCC"/>
    <w:rsid w:val="00BF0908"/>
    <w:rsid w:val="00BF5F74"/>
    <w:rsid w:val="00BF6C08"/>
    <w:rsid w:val="00BF77C3"/>
    <w:rsid w:val="00C001BA"/>
    <w:rsid w:val="00C00B91"/>
    <w:rsid w:val="00C00E1A"/>
    <w:rsid w:val="00C0351B"/>
    <w:rsid w:val="00C03DFD"/>
    <w:rsid w:val="00C03EAE"/>
    <w:rsid w:val="00C04B39"/>
    <w:rsid w:val="00C10391"/>
    <w:rsid w:val="00C1219B"/>
    <w:rsid w:val="00C134E9"/>
    <w:rsid w:val="00C13A92"/>
    <w:rsid w:val="00C145E5"/>
    <w:rsid w:val="00C20C07"/>
    <w:rsid w:val="00C22E67"/>
    <w:rsid w:val="00C2787C"/>
    <w:rsid w:val="00C27BA4"/>
    <w:rsid w:val="00C27D7A"/>
    <w:rsid w:val="00C3087C"/>
    <w:rsid w:val="00C30977"/>
    <w:rsid w:val="00C32509"/>
    <w:rsid w:val="00C35FB0"/>
    <w:rsid w:val="00C407A9"/>
    <w:rsid w:val="00C421FB"/>
    <w:rsid w:val="00C54CD3"/>
    <w:rsid w:val="00C55A8B"/>
    <w:rsid w:val="00C64FBD"/>
    <w:rsid w:val="00C723D1"/>
    <w:rsid w:val="00C73106"/>
    <w:rsid w:val="00C735A3"/>
    <w:rsid w:val="00C751E6"/>
    <w:rsid w:val="00C76DC9"/>
    <w:rsid w:val="00C77AA9"/>
    <w:rsid w:val="00C86161"/>
    <w:rsid w:val="00C93FDE"/>
    <w:rsid w:val="00C94538"/>
    <w:rsid w:val="00C94999"/>
    <w:rsid w:val="00C9630C"/>
    <w:rsid w:val="00CA1648"/>
    <w:rsid w:val="00CA1C44"/>
    <w:rsid w:val="00CA5B8B"/>
    <w:rsid w:val="00CA74E9"/>
    <w:rsid w:val="00CA7DA5"/>
    <w:rsid w:val="00CB06F5"/>
    <w:rsid w:val="00CB1FAC"/>
    <w:rsid w:val="00CB20D0"/>
    <w:rsid w:val="00CB3540"/>
    <w:rsid w:val="00CB5141"/>
    <w:rsid w:val="00CC0700"/>
    <w:rsid w:val="00CC2EDF"/>
    <w:rsid w:val="00CD0D5F"/>
    <w:rsid w:val="00CD0FB1"/>
    <w:rsid w:val="00CD1DB9"/>
    <w:rsid w:val="00CD3BA1"/>
    <w:rsid w:val="00CD3C06"/>
    <w:rsid w:val="00CD629A"/>
    <w:rsid w:val="00CE162A"/>
    <w:rsid w:val="00CE332B"/>
    <w:rsid w:val="00CE388F"/>
    <w:rsid w:val="00CE54E6"/>
    <w:rsid w:val="00CE6D18"/>
    <w:rsid w:val="00CF00D5"/>
    <w:rsid w:val="00CF084B"/>
    <w:rsid w:val="00CF5442"/>
    <w:rsid w:val="00CF6932"/>
    <w:rsid w:val="00CF7F9A"/>
    <w:rsid w:val="00D04AB3"/>
    <w:rsid w:val="00D05758"/>
    <w:rsid w:val="00D1000A"/>
    <w:rsid w:val="00D11C66"/>
    <w:rsid w:val="00D12894"/>
    <w:rsid w:val="00D12961"/>
    <w:rsid w:val="00D12CE5"/>
    <w:rsid w:val="00D14207"/>
    <w:rsid w:val="00D15FB6"/>
    <w:rsid w:val="00D220B5"/>
    <w:rsid w:val="00D231DC"/>
    <w:rsid w:val="00D232A7"/>
    <w:rsid w:val="00D24524"/>
    <w:rsid w:val="00D3145B"/>
    <w:rsid w:val="00D3228D"/>
    <w:rsid w:val="00D341E8"/>
    <w:rsid w:val="00D3610C"/>
    <w:rsid w:val="00D410E3"/>
    <w:rsid w:val="00D4219B"/>
    <w:rsid w:val="00D44312"/>
    <w:rsid w:val="00D454C2"/>
    <w:rsid w:val="00D50CDE"/>
    <w:rsid w:val="00D50DD5"/>
    <w:rsid w:val="00D51076"/>
    <w:rsid w:val="00D51F38"/>
    <w:rsid w:val="00D51F42"/>
    <w:rsid w:val="00D567B9"/>
    <w:rsid w:val="00D57027"/>
    <w:rsid w:val="00D6179C"/>
    <w:rsid w:val="00D6294B"/>
    <w:rsid w:val="00D71071"/>
    <w:rsid w:val="00D74680"/>
    <w:rsid w:val="00D7598E"/>
    <w:rsid w:val="00D8299F"/>
    <w:rsid w:val="00D853DC"/>
    <w:rsid w:val="00D878E0"/>
    <w:rsid w:val="00D93B2E"/>
    <w:rsid w:val="00D974AE"/>
    <w:rsid w:val="00D9798D"/>
    <w:rsid w:val="00DA0C9B"/>
    <w:rsid w:val="00DA19D1"/>
    <w:rsid w:val="00DA2A3D"/>
    <w:rsid w:val="00DB63C3"/>
    <w:rsid w:val="00DC22D1"/>
    <w:rsid w:val="00DC2759"/>
    <w:rsid w:val="00DC28C2"/>
    <w:rsid w:val="00DC6FC3"/>
    <w:rsid w:val="00DD1366"/>
    <w:rsid w:val="00DD2150"/>
    <w:rsid w:val="00DD45E0"/>
    <w:rsid w:val="00DD69A1"/>
    <w:rsid w:val="00DE04A1"/>
    <w:rsid w:val="00DE06C1"/>
    <w:rsid w:val="00DE71E8"/>
    <w:rsid w:val="00DE753A"/>
    <w:rsid w:val="00DF5650"/>
    <w:rsid w:val="00E01B42"/>
    <w:rsid w:val="00E03893"/>
    <w:rsid w:val="00E05876"/>
    <w:rsid w:val="00E06A72"/>
    <w:rsid w:val="00E06D8F"/>
    <w:rsid w:val="00E07FDF"/>
    <w:rsid w:val="00E114D1"/>
    <w:rsid w:val="00E1237C"/>
    <w:rsid w:val="00E13FDA"/>
    <w:rsid w:val="00E178BE"/>
    <w:rsid w:val="00E21D2F"/>
    <w:rsid w:val="00E2289D"/>
    <w:rsid w:val="00E24E1F"/>
    <w:rsid w:val="00E316EF"/>
    <w:rsid w:val="00E327BE"/>
    <w:rsid w:val="00E358B9"/>
    <w:rsid w:val="00E359BF"/>
    <w:rsid w:val="00E36C6F"/>
    <w:rsid w:val="00E37CA0"/>
    <w:rsid w:val="00E4253D"/>
    <w:rsid w:val="00E43365"/>
    <w:rsid w:val="00E433F0"/>
    <w:rsid w:val="00E44F6B"/>
    <w:rsid w:val="00E45820"/>
    <w:rsid w:val="00E52989"/>
    <w:rsid w:val="00E57427"/>
    <w:rsid w:val="00E57A61"/>
    <w:rsid w:val="00E57D70"/>
    <w:rsid w:val="00E6389C"/>
    <w:rsid w:val="00E66509"/>
    <w:rsid w:val="00E70958"/>
    <w:rsid w:val="00E7409E"/>
    <w:rsid w:val="00E74306"/>
    <w:rsid w:val="00E8015B"/>
    <w:rsid w:val="00E81AAA"/>
    <w:rsid w:val="00E81C36"/>
    <w:rsid w:val="00E820CF"/>
    <w:rsid w:val="00E85D4C"/>
    <w:rsid w:val="00E9048B"/>
    <w:rsid w:val="00E91F8F"/>
    <w:rsid w:val="00E922DA"/>
    <w:rsid w:val="00E92C4A"/>
    <w:rsid w:val="00EA06C3"/>
    <w:rsid w:val="00EA09D0"/>
    <w:rsid w:val="00EB0581"/>
    <w:rsid w:val="00EB17FE"/>
    <w:rsid w:val="00EB4AB3"/>
    <w:rsid w:val="00EC1629"/>
    <w:rsid w:val="00EC1CC5"/>
    <w:rsid w:val="00EC31DE"/>
    <w:rsid w:val="00EC4CDA"/>
    <w:rsid w:val="00EC6742"/>
    <w:rsid w:val="00ED0611"/>
    <w:rsid w:val="00ED1BA0"/>
    <w:rsid w:val="00ED3B9E"/>
    <w:rsid w:val="00ED3E52"/>
    <w:rsid w:val="00ED4A26"/>
    <w:rsid w:val="00ED571A"/>
    <w:rsid w:val="00ED7543"/>
    <w:rsid w:val="00ED77F0"/>
    <w:rsid w:val="00EE10A1"/>
    <w:rsid w:val="00EE2B62"/>
    <w:rsid w:val="00EE2D81"/>
    <w:rsid w:val="00EF1E7A"/>
    <w:rsid w:val="00EF4CA2"/>
    <w:rsid w:val="00EF6621"/>
    <w:rsid w:val="00EF7B35"/>
    <w:rsid w:val="00F0036F"/>
    <w:rsid w:val="00F03CC8"/>
    <w:rsid w:val="00F10294"/>
    <w:rsid w:val="00F11DC5"/>
    <w:rsid w:val="00F12966"/>
    <w:rsid w:val="00F16AD7"/>
    <w:rsid w:val="00F20E8B"/>
    <w:rsid w:val="00F22412"/>
    <w:rsid w:val="00F33668"/>
    <w:rsid w:val="00F40418"/>
    <w:rsid w:val="00F40D15"/>
    <w:rsid w:val="00F43370"/>
    <w:rsid w:val="00F43945"/>
    <w:rsid w:val="00F4792F"/>
    <w:rsid w:val="00F53BF5"/>
    <w:rsid w:val="00F5437A"/>
    <w:rsid w:val="00F635AC"/>
    <w:rsid w:val="00F64482"/>
    <w:rsid w:val="00F70118"/>
    <w:rsid w:val="00F72671"/>
    <w:rsid w:val="00F755CB"/>
    <w:rsid w:val="00F81219"/>
    <w:rsid w:val="00F821E5"/>
    <w:rsid w:val="00F86A06"/>
    <w:rsid w:val="00F8738A"/>
    <w:rsid w:val="00F90BA1"/>
    <w:rsid w:val="00F93D47"/>
    <w:rsid w:val="00F9498A"/>
    <w:rsid w:val="00F97F0F"/>
    <w:rsid w:val="00FA12F1"/>
    <w:rsid w:val="00FA1DCB"/>
    <w:rsid w:val="00FA1FC5"/>
    <w:rsid w:val="00FA2B5A"/>
    <w:rsid w:val="00FA30C7"/>
    <w:rsid w:val="00FA55C6"/>
    <w:rsid w:val="00FA6B41"/>
    <w:rsid w:val="00FA757D"/>
    <w:rsid w:val="00FB06CA"/>
    <w:rsid w:val="00FB0D24"/>
    <w:rsid w:val="00FB50BE"/>
    <w:rsid w:val="00FB736A"/>
    <w:rsid w:val="00FC1533"/>
    <w:rsid w:val="00FC3E86"/>
    <w:rsid w:val="00FC42D1"/>
    <w:rsid w:val="00FC4AF9"/>
    <w:rsid w:val="00FC5503"/>
    <w:rsid w:val="00FC68EC"/>
    <w:rsid w:val="00FC7CBE"/>
    <w:rsid w:val="00FD0E51"/>
    <w:rsid w:val="00FD3B97"/>
    <w:rsid w:val="00FD73D1"/>
    <w:rsid w:val="00FE3518"/>
    <w:rsid w:val="00FE6A46"/>
    <w:rsid w:val="00FF0588"/>
    <w:rsid w:val="00FF2F7D"/>
    <w:rsid w:val="00FF4D58"/>
    <w:rsid w:val="00FF55CB"/>
    <w:rsid w:val="00FF5A14"/>
    <w:rsid w:val="00FF62FF"/>
    <w:rsid w:val="00FF6DDB"/>
    <w:rsid w:val="00FF7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DD73D3C-01A9-4028-9986-4D99FBB1F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424B"/>
    <w:rPr>
      <w:rFonts w:ascii="宋体" w:eastAsia="宋体" w:hAnsi="宋体" w:cs="宋体"/>
      <w:kern w:val="0"/>
      <w:sz w:val="24"/>
      <w:szCs w:val="24"/>
    </w:rPr>
  </w:style>
  <w:style w:type="paragraph" w:styleId="1">
    <w:name w:val="heading 1"/>
    <w:basedOn w:val="a"/>
    <w:next w:val="a"/>
    <w:link w:val="1Char"/>
    <w:uiPriority w:val="9"/>
    <w:qFormat/>
    <w:rsid w:val="00F4041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42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424B"/>
    <w:rPr>
      <w:sz w:val="18"/>
      <w:szCs w:val="18"/>
    </w:rPr>
  </w:style>
  <w:style w:type="paragraph" w:styleId="a4">
    <w:name w:val="footer"/>
    <w:basedOn w:val="a"/>
    <w:link w:val="Char0"/>
    <w:uiPriority w:val="99"/>
    <w:unhideWhenUsed/>
    <w:rsid w:val="0009424B"/>
    <w:pPr>
      <w:tabs>
        <w:tab w:val="center" w:pos="4153"/>
        <w:tab w:val="right" w:pos="8306"/>
      </w:tabs>
      <w:snapToGrid w:val="0"/>
    </w:pPr>
    <w:rPr>
      <w:sz w:val="18"/>
      <w:szCs w:val="18"/>
    </w:rPr>
  </w:style>
  <w:style w:type="character" w:customStyle="1" w:styleId="Char0">
    <w:name w:val="页脚 Char"/>
    <w:basedOn w:val="a0"/>
    <w:link w:val="a4"/>
    <w:uiPriority w:val="99"/>
    <w:rsid w:val="0009424B"/>
    <w:rPr>
      <w:sz w:val="18"/>
      <w:szCs w:val="18"/>
    </w:rPr>
  </w:style>
  <w:style w:type="paragraph" w:styleId="a5">
    <w:name w:val="List Paragraph"/>
    <w:basedOn w:val="a"/>
    <w:uiPriority w:val="34"/>
    <w:qFormat/>
    <w:rsid w:val="0009424B"/>
    <w:pPr>
      <w:widowControl w:val="0"/>
      <w:ind w:firstLineChars="200" w:firstLine="420"/>
      <w:jc w:val="both"/>
    </w:pPr>
    <w:rPr>
      <w:rFonts w:ascii="Calibri" w:hAnsi="Calibri" w:cs="Times New Roman"/>
      <w:kern w:val="2"/>
      <w:sz w:val="21"/>
      <w:szCs w:val="22"/>
    </w:rPr>
  </w:style>
  <w:style w:type="paragraph" w:styleId="a6">
    <w:name w:val="Normal (Web)"/>
    <w:basedOn w:val="a"/>
    <w:uiPriority w:val="99"/>
    <w:unhideWhenUsed/>
    <w:rsid w:val="006D788A"/>
    <w:pPr>
      <w:spacing w:before="100" w:beforeAutospacing="1" w:after="100" w:afterAutospacing="1"/>
    </w:pPr>
  </w:style>
  <w:style w:type="table" w:styleId="a7">
    <w:name w:val="Table Grid"/>
    <w:basedOn w:val="a1"/>
    <w:uiPriority w:val="39"/>
    <w:rsid w:val="00977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qFormat/>
    <w:rsid w:val="009F1E7F"/>
    <w:rPr>
      <w:b/>
    </w:rPr>
  </w:style>
  <w:style w:type="paragraph" w:customStyle="1" w:styleId="biaogeleft">
    <w:name w:val="biaoge_left"/>
    <w:basedOn w:val="a"/>
    <w:rsid w:val="00841835"/>
    <w:pPr>
      <w:autoSpaceDE w:val="0"/>
      <w:autoSpaceDN w:val="0"/>
      <w:adjustRightInd w:val="0"/>
      <w:spacing w:before="29" w:line="288" w:lineRule="auto"/>
      <w:ind w:left="15"/>
    </w:pPr>
  </w:style>
  <w:style w:type="paragraph" w:customStyle="1" w:styleId="biaogecenter">
    <w:name w:val="biaoge_center"/>
    <w:basedOn w:val="a"/>
    <w:rsid w:val="00F821E5"/>
    <w:pPr>
      <w:autoSpaceDE w:val="0"/>
      <w:autoSpaceDN w:val="0"/>
      <w:adjustRightInd w:val="0"/>
      <w:spacing w:before="29" w:line="288" w:lineRule="auto"/>
      <w:ind w:left="15"/>
      <w:jc w:val="center"/>
    </w:pPr>
  </w:style>
  <w:style w:type="paragraph" w:customStyle="1" w:styleId="biaogeright">
    <w:name w:val="biaoge_right"/>
    <w:basedOn w:val="a"/>
    <w:rsid w:val="00F821E5"/>
    <w:pPr>
      <w:autoSpaceDE w:val="0"/>
      <w:autoSpaceDN w:val="0"/>
      <w:adjustRightInd w:val="0"/>
      <w:spacing w:before="29" w:line="288" w:lineRule="auto"/>
      <w:ind w:left="15"/>
      <w:jc w:val="right"/>
    </w:pPr>
  </w:style>
  <w:style w:type="paragraph" w:styleId="a9">
    <w:name w:val="Balloon Text"/>
    <w:basedOn w:val="a"/>
    <w:link w:val="Char1"/>
    <w:uiPriority w:val="99"/>
    <w:semiHidden/>
    <w:unhideWhenUsed/>
    <w:rsid w:val="007331BB"/>
    <w:rPr>
      <w:sz w:val="18"/>
      <w:szCs w:val="18"/>
    </w:rPr>
  </w:style>
  <w:style w:type="character" w:customStyle="1" w:styleId="Char1">
    <w:name w:val="批注框文本 Char"/>
    <w:basedOn w:val="a0"/>
    <w:link w:val="a9"/>
    <w:uiPriority w:val="99"/>
    <w:semiHidden/>
    <w:rsid w:val="007331BB"/>
    <w:rPr>
      <w:rFonts w:ascii="宋体" w:eastAsia="宋体" w:hAnsi="宋体" w:cs="宋体"/>
      <w:kern w:val="0"/>
      <w:sz w:val="18"/>
      <w:szCs w:val="18"/>
    </w:rPr>
  </w:style>
  <w:style w:type="character" w:styleId="aa">
    <w:name w:val="Hyperlink"/>
    <w:basedOn w:val="a0"/>
    <w:uiPriority w:val="99"/>
    <w:unhideWhenUsed/>
    <w:rsid w:val="00FF4D58"/>
    <w:rPr>
      <w:color w:val="0563C1" w:themeColor="hyperlink"/>
      <w:u w:val="single"/>
    </w:rPr>
  </w:style>
  <w:style w:type="character" w:customStyle="1" w:styleId="1Char">
    <w:name w:val="标题 1 Char"/>
    <w:basedOn w:val="a0"/>
    <w:link w:val="1"/>
    <w:uiPriority w:val="9"/>
    <w:rsid w:val="00F40418"/>
    <w:rPr>
      <w:rFonts w:ascii="宋体" w:eastAsia="宋体" w:hAnsi="宋体" w:cs="宋体"/>
      <w:b/>
      <w:bCs/>
      <w:kern w:val="44"/>
      <w:sz w:val="44"/>
      <w:szCs w:val="44"/>
    </w:rPr>
  </w:style>
  <w:style w:type="paragraph" w:styleId="TOC">
    <w:name w:val="TOC Heading"/>
    <w:basedOn w:val="1"/>
    <w:next w:val="a"/>
    <w:uiPriority w:val="39"/>
    <w:unhideWhenUsed/>
    <w:qFormat/>
    <w:rsid w:val="00F40418"/>
    <w:pPr>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525160">
      <w:bodyDiv w:val="1"/>
      <w:marLeft w:val="0"/>
      <w:marRight w:val="0"/>
      <w:marTop w:val="0"/>
      <w:marBottom w:val="0"/>
      <w:divBdr>
        <w:top w:val="none" w:sz="0" w:space="0" w:color="auto"/>
        <w:left w:val="none" w:sz="0" w:space="0" w:color="auto"/>
        <w:bottom w:val="none" w:sz="0" w:space="0" w:color="auto"/>
        <w:right w:val="none" w:sz="0" w:space="0" w:color="auto"/>
      </w:divBdr>
      <w:divsChild>
        <w:div w:id="1201239068">
          <w:marLeft w:val="0"/>
          <w:marRight w:val="0"/>
          <w:marTop w:val="0"/>
          <w:marBottom w:val="0"/>
          <w:divBdr>
            <w:top w:val="none" w:sz="0" w:space="0" w:color="auto"/>
            <w:left w:val="none" w:sz="0" w:space="0" w:color="auto"/>
            <w:bottom w:val="none" w:sz="0" w:space="0" w:color="auto"/>
            <w:right w:val="none" w:sz="0" w:space="0" w:color="auto"/>
          </w:divBdr>
        </w:div>
      </w:divsChild>
    </w:div>
    <w:div w:id="69430374">
      <w:bodyDiv w:val="1"/>
      <w:marLeft w:val="0"/>
      <w:marRight w:val="0"/>
      <w:marTop w:val="0"/>
      <w:marBottom w:val="0"/>
      <w:divBdr>
        <w:top w:val="none" w:sz="0" w:space="0" w:color="auto"/>
        <w:left w:val="none" w:sz="0" w:space="0" w:color="auto"/>
        <w:bottom w:val="none" w:sz="0" w:space="0" w:color="auto"/>
        <w:right w:val="none" w:sz="0" w:space="0" w:color="auto"/>
      </w:divBdr>
    </w:div>
    <w:div w:id="153687682">
      <w:bodyDiv w:val="1"/>
      <w:marLeft w:val="0"/>
      <w:marRight w:val="0"/>
      <w:marTop w:val="0"/>
      <w:marBottom w:val="0"/>
      <w:divBdr>
        <w:top w:val="none" w:sz="0" w:space="0" w:color="auto"/>
        <w:left w:val="none" w:sz="0" w:space="0" w:color="auto"/>
        <w:bottom w:val="none" w:sz="0" w:space="0" w:color="auto"/>
        <w:right w:val="none" w:sz="0" w:space="0" w:color="auto"/>
      </w:divBdr>
    </w:div>
    <w:div w:id="201483453">
      <w:bodyDiv w:val="1"/>
      <w:marLeft w:val="0"/>
      <w:marRight w:val="0"/>
      <w:marTop w:val="0"/>
      <w:marBottom w:val="0"/>
      <w:divBdr>
        <w:top w:val="none" w:sz="0" w:space="0" w:color="auto"/>
        <w:left w:val="none" w:sz="0" w:space="0" w:color="auto"/>
        <w:bottom w:val="none" w:sz="0" w:space="0" w:color="auto"/>
        <w:right w:val="none" w:sz="0" w:space="0" w:color="auto"/>
      </w:divBdr>
    </w:div>
    <w:div w:id="302390855">
      <w:bodyDiv w:val="1"/>
      <w:marLeft w:val="0"/>
      <w:marRight w:val="0"/>
      <w:marTop w:val="0"/>
      <w:marBottom w:val="0"/>
      <w:divBdr>
        <w:top w:val="none" w:sz="0" w:space="0" w:color="auto"/>
        <w:left w:val="none" w:sz="0" w:space="0" w:color="auto"/>
        <w:bottom w:val="none" w:sz="0" w:space="0" w:color="auto"/>
        <w:right w:val="none" w:sz="0" w:space="0" w:color="auto"/>
      </w:divBdr>
      <w:divsChild>
        <w:div w:id="2144275113">
          <w:marLeft w:val="0"/>
          <w:marRight w:val="0"/>
          <w:marTop w:val="0"/>
          <w:marBottom w:val="0"/>
          <w:divBdr>
            <w:top w:val="none" w:sz="0" w:space="0" w:color="auto"/>
            <w:left w:val="none" w:sz="0" w:space="0" w:color="auto"/>
            <w:bottom w:val="none" w:sz="0" w:space="0" w:color="auto"/>
            <w:right w:val="none" w:sz="0" w:space="0" w:color="auto"/>
          </w:divBdr>
        </w:div>
      </w:divsChild>
    </w:div>
    <w:div w:id="336731996">
      <w:bodyDiv w:val="1"/>
      <w:marLeft w:val="0"/>
      <w:marRight w:val="0"/>
      <w:marTop w:val="0"/>
      <w:marBottom w:val="0"/>
      <w:divBdr>
        <w:top w:val="none" w:sz="0" w:space="0" w:color="auto"/>
        <w:left w:val="none" w:sz="0" w:space="0" w:color="auto"/>
        <w:bottom w:val="none" w:sz="0" w:space="0" w:color="auto"/>
        <w:right w:val="none" w:sz="0" w:space="0" w:color="auto"/>
      </w:divBdr>
    </w:div>
    <w:div w:id="362707846">
      <w:bodyDiv w:val="1"/>
      <w:marLeft w:val="0"/>
      <w:marRight w:val="0"/>
      <w:marTop w:val="0"/>
      <w:marBottom w:val="0"/>
      <w:divBdr>
        <w:top w:val="none" w:sz="0" w:space="0" w:color="auto"/>
        <w:left w:val="none" w:sz="0" w:space="0" w:color="auto"/>
        <w:bottom w:val="none" w:sz="0" w:space="0" w:color="auto"/>
        <w:right w:val="none" w:sz="0" w:space="0" w:color="auto"/>
      </w:divBdr>
    </w:div>
    <w:div w:id="426196422">
      <w:bodyDiv w:val="1"/>
      <w:marLeft w:val="0"/>
      <w:marRight w:val="0"/>
      <w:marTop w:val="0"/>
      <w:marBottom w:val="0"/>
      <w:divBdr>
        <w:top w:val="none" w:sz="0" w:space="0" w:color="auto"/>
        <w:left w:val="none" w:sz="0" w:space="0" w:color="auto"/>
        <w:bottom w:val="none" w:sz="0" w:space="0" w:color="auto"/>
        <w:right w:val="none" w:sz="0" w:space="0" w:color="auto"/>
      </w:divBdr>
      <w:divsChild>
        <w:div w:id="2055428179">
          <w:marLeft w:val="0"/>
          <w:marRight w:val="0"/>
          <w:marTop w:val="0"/>
          <w:marBottom w:val="0"/>
          <w:divBdr>
            <w:top w:val="none" w:sz="0" w:space="0" w:color="auto"/>
            <w:left w:val="none" w:sz="0" w:space="0" w:color="auto"/>
            <w:bottom w:val="none" w:sz="0" w:space="0" w:color="auto"/>
            <w:right w:val="none" w:sz="0" w:space="0" w:color="auto"/>
          </w:divBdr>
        </w:div>
      </w:divsChild>
    </w:div>
    <w:div w:id="435909044">
      <w:bodyDiv w:val="1"/>
      <w:marLeft w:val="0"/>
      <w:marRight w:val="0"/>
      <w:marTop w:val="0"/>
      <w:marBottom w:val="0"/>
      <w:divBdr>
        <w:top w:val="none" w:sz="0" w:space="0" w:color="auto"/>
        <w:left w:val="none" w:sz="0" w:space="0" w:color="auto"/>
        <w:bottom w:val="none" w:sz="0" w:space="0" w:color="auto"/>
        <w:right w:val="none" w:sz="0" w:space="0" w:color="auto"/>
      </w:divBdr>
    </w:div>
    <w:div w:id="482819655">
      <w:bodyDiv w:val="1"/>
      <w:marLeft w:val="0"/>
      <w:marRight w:val="0"/>
      <w:marTop w:val="0"/>
      <w:marBottom w:val="0"/>
      <w:divBdr>
        <w:top w:val="none" w:sz="0" w:space="0" w:color="auto"/>
        <w:left w:val="none" w:sz="0" w:space="0" w:color="auto"/>
        <w:bottom w:val="none" w:sz="0" w:space="0" w:color="auto"/>
        <w:right w:val="none" w:sz="0" w:space="0" w:color="auto"/>
      </w:divBdr>
    </w:div>
    <w:div w:id="622075840">
      <w:bodyDiv w:val="1"/>
      <w:marLeft w:val="0"/>
      <w:marRight w:val="0"/>
      <w:marTop w:val="0"/>
      <w:marBottom w:val="0"/>
      <w:divBdr>
        <w:top w:val="none" w:sz="0" w:space="0" w:color="auto"/>
        <w:left w:val="none" w:sz="0" w:space="0" w:color="auto"/>
        <w:bottom w:val="none" w:sz="0" w:space="0" w:color="auto"/>
        <w:right w:val="none" w:sz="0" w:space="0" w:color="auto"/>
      </w:divBdr>
      <w:divsChild>
        <w:div w:id="1235967090">
          <w:marLeft w:val="0"/>
          <w:marRight w:val="0"/>
          <w:marTop w:val="0"/>
          <w:marBottom w:val="0"/>
          <w:divBdr>
            <w:top w:val="none" w:sz="0" w:space="0" w:color="auto"/>
            <w:left w:val="none" w:sz="0" w:space="0" w:color="auto"/>
            <w:bottom w:val="none" w:sz="0" w:space="0" w:color="auto"/>
            <w:right w:val="none" w:sz="0" w:space="0" w:color="auto"/>
          </w:divBdr>
        </w:div>
      </w:divsChild>
    </w:div>
    <w:div w:id="638533000">
      <w:bodyDiv w:val="1"/>
      <w:marLeft w:val="0"/>
      <w:marRight w:val="0"/>
      <w:marTop w:val="0"/>
      <w:marBottom w:val="0"/>
      <w:divBdr>
        <w:top w:val="none" w:sz="0" w:space="0" w:color="auto"/>
        <w:left w:val="none" w:sz="0" w:space="0" w:color="auto"/>
        <w:bottom w:val="none" w:sz="0" w:space="0" w:color="auto"/>
        <w:right w:val="none" w:sz="0" w:space="0" w:color="auto"/>
      </w:divBdr>
    </w:div>
    <w:div w:id="676423141">
      <w:bodyDiv w:val="1"/>
      <w:marLeft w:val="0"/>
      <w:marRight w:val="0"/>
      <w:marTop w:val="0"/>
      <w:marBottom w:val="0"/>
      <w:divBdr>
        <w:top w:val="none" w:sz="0" w:space="0" w:color="auto"/>
        <w:left w:val="none" w:sz="0" w:space="0" w:color="auto"/>
        <w:bottom w:val="none" w:sz="0" w:space="0" w:color="auto"/>
        <w:right w:val="none" w:sz="0" w:space="0" w:color="auto"/>
      </w:divBdr>
    </w:div>
    <w:div w:id="718936313">
      <w:bodyDiv w:val="1"/>
      <w:marLeft w:val="0"/>
      <w:marRight w:val="0"/>
      <w:marTop w:val="0"/>
      <w:marBottom w:val="0"/>
      <w:divBdr>
        <w:top w:val="none" w:sz="0" w:space="0" w:color="auto"/>
        <w:left w:val="none" w:sz="0" w:space="0" w:color="auto"/>
        <w:bottom w:val="none" w:sz="0" w:space="0" w:color="auto"/>
        <w:right w:val="none" w:sz="0" w:space="0" w:color="auto"/>
      </w:divBdr>
    </w:div>
    <w:div w:id="749079297">
      <w:bodyDiv w:val="1"/>
      <w:marLeft w:val="0"/>
      <w:marRight w:val="0"/>
      <w:marTop w:val="0"/>
      <w:marBottom w:val="0"/>
      <w:divBdr>
        <w:top w:val="none" w:sz="0" w:space="0" w:color="auto"/>
        <w:left w:val="none" w:sz="0" w:space="0" w:color="auto"/>
        <w:bottom w:val="none" w:sz="0" w:space="0" w:color="auto"/>
        <w:right w:val="none" w:sz="0" w:space="0" w:color="auto"/>
      </w:divBdr>
    </w:div>
    <w:div w:id="770399593">
      <w:bodyDiv w:val="1"/>
      <w:marLeft w:val="0"/>
      <w:marRight w:val="0"/>
      <w:marTop w:val="0"/>
      <w:marBottom w:val="0"/>
      <w:divBdr>
        <w:top w:val="none" w:sz="0" w:space="0" w:color="auto"/>
        <w:left w:val="none" w:sz="0" w:space="0" w:color="auto"/>
        <w:bottom w:val="none" w:sz="0" w:space="0" w:color="auto"/>
        <w:right w:val="none" w:sz="0" w:space="0" w:color="auto"/>
      </w:divBdr>
    </w:div>
    <w:div w:id="791021252">
      <w:bodyDiv w:val="1"/>
      <w:marLeft w:val="0"/>
      <w:marRight w:val="0"/>
      <w:marTop w:val="0"/>
      <w:marBottom w:val="0"/>
      <w:divBdr>
        <w:top w:val="none" w:sz="0" w:space="0" w:color="auto"/>
        <w:left w:val="none" w:sz="0" w:space="0" w:color="auto"/>
        <w:bottom w:val="none" w:sz="0" w:space="0" w:color="auto"/>
        <w:right w:val="none" w:sz="0" w:space="0" w:color="auto"/>
      </w:divBdr>
    </w:div>
    <w:div w:id="815074298">
      <w:bodyDiv w:val="1"/>
      <w:marLeft w:val="0"/>
      <w:marRight w:val="0"/>
      <w:marTop w:val="0"/>
      <w:marBottom w:val="0"/>
      <w:divBdr>
        <w:top w:val="none" w:sz="0" w:space="0" w:color="auto"/>
        <w:left w:val="none" w:sz="0" w:space="0" w:color="auto"/>
        <w:bottom w:val="none" w:sz="0" w:space="0" w:color="auto"/>
        <w:right w:val="none" w:sz="0" w:space="0" w:color="auto"/>
      </w:divBdr>
    </w:div>
    <w:div w:id="848445999">
      <w:bodyDiv w:val="1"/>
      <w:marLeft w:val="0"/>
      <w:marRight w:val="0"/>
      <w:marTop w:val="0"/>
      <w:marBottom w:val="0"/>
      <w:divBdr>
        <w:top w:val="none" w:sz="0" w:space="0" w:color="auto"/>
        <w:left w:val="none" w:sz="0" w:space="0" w:color="auto"/>
        <w:bottom w:val="none" w:sz="0" w:space="0" w:color="auto"/>
        <w:right w:val="none" w:sz="0" w:space="0" w:color="auto"/>
      </w:divBdr>
      <w:divsChild>
        <w:div w:id="691223994">
          <w:marLeft w:val="0"/>
          <w:marRight w:val="0"/>
          <w:marTop w:val="0"/>
          <w:marBottom w:val="0"/>
          <w:divBdr>
            <w:top w:val="none" w:sz="0" w:space="0" w:color="auto"/>
            <w:left w:val="none" w:sz="0" w:space="0" w:color="auto"/>
            <w:bottom w:val="none" w:sz="0" w:space="0" w:color="auto"/>
            <w:right w:val="none" w:sz="0" w:space="0" w:color="auto"/>
          </w:divBdr>
        </w:div>
      </w:divsChild>
    </w:div>
    <w:div w:id="955022796">
      <w:bodyDiv w:val="1"/>
      <w:marLeft w:val="0"/>
      <w:marRight w:val="0"/>
      <w:marTop w:val="0"/>
      <w:marBottom w:val="0"/>
      <w:divBdr>
        <w:top w:val="none" w:sz="0" w:space="0" w:color="auto"/>
        <w:left w:val="none" w:sz="0" w:space="0" w:color="auto"/>
        <w:bottom w:val="none" w:sz="0" w:space="0" w:color="auto"/>
        <w:right w:val="none" w:sz="0" w:space="0" w:color="auto"/>
      </w:divBdr>
    </w:div>
    <w:div w:id="977303638">
      <w:bodyDiv w:val="1"/>
      <w:marLeft w:val="0"/>
      <w:marRight w:val="0"/>
      <w:marTop w:val="0"/>
      <w:marBottom w:val="0"/>
      <w:divBdr>
        <w:top w:val="none" w:sz="0" w:space="0" w:color="auto"/>
        <w:left w:val="none" w:sz="0" w:space="0" w:color="auto"/>
        <w:bottom w:val="none" w:sz="0" w:space="0" w:color="auto"/>
        <w:right w:val="none" w:sz="0" w:space="0" w:color="auto"/>
      </w:divBdr>
    </w:div>
    <w:div w:id="982806181">
      <w:bodyDiv w:val="1"/>
      <w:marLeft w:val="0"/>
      <w:marRight w:val="0"/>
      <w:marTop w:val="0"/>
      <w:marBottom w:val="0"/>
      <w:divBdr>
        <w:top w:val="none" w:sz="0" w:space="0" w:color="auto"/>
        <w:left w:val="none" w:sz="0" w:space="0" w:color="auto"/>
        <w:bottom w:val="none" w:sz="0" w:space="0" w:color="auto"/>
        <w:right w:val="none" w:sz="0" w:space="0" w:color="auto"/>
      </w:divBdr>
    </w:div>
    <w:div w:id="1064134923">
      <w:bodyDiv w:val="1"/>
      <w:marLeft w:val="0"/>
      <w:marRight w:val="0"/>
      <w:marTop w:val="0"/>
      <w:marBottom w:val="0"/>
      <w:divBdr>
        <w:top w:val="none" w:sz="0" w:space="0" w:color="auto"/>
        <w:left w:val="none" w:sz="0" w:space="0" w:color="auto"/>
        <w:bottom w:val="none" w:sz="0" w:space="0" w:color="auto"/>
        <w:right w:val="none" w:sz="0" w:space="0" w:color="auto"/>
      </w:divBdr>
      <w:divsChild>
        <w:div w:id="1494449729">
          <w:marLeft w:val="0"/>
          <w:marRight w:val="0"/>
          <w:marTop w:val="0"/>
          <w:marBottom w:val="0"/>
          <w:divBdr>
            <w:top w:val="none" w:sz="0" w:space="0" w:color="auto"/>
            <w:left w:val="none" w:sz="0" w:space="0" w:color="auto"/>
            <w:bottom w:val="none" w:sz="0" w:space="0" w:color="auto"/>
            <w:right w:val="none" w:sz="0" w:space="0" w:color="auto"/>
          </w:divBdr>
        </w:div>
      </w:divsChild>
    </w:div>
    <w:div w:id="1120222829">
      <w:bodyDiv w:val="1"/>
      <w:marLeft w:val="0"/>
      <w:marRight w:val="0"/>
      <w:marTop w:val="0"/>
      <w:marBottom w:val="0"/>
      <w:divBdr>
        <w:top w:val="none" w:sz="0" w:space="0" w:color="auto"/>
        <w:left w:val="none" w:sz="0" w:space="0" w:color="auto"/>
        <w:bottom w:val="none" w:sz="0" w:space="0" w:color="auto"/>
        <w:right w:val="none" w:sz="0" w:space="0" w:color="auto"/>
      </w:divBdr>
    </w:div>
    <w:div w:id="1121875538">
      <w:bodyDiv w:val="1"/>
      <w:marLeft w:val="0"/>
      <w:marRight w:val="0"/>
      <w:marTop w:val="0"/>
      <w:marBottom w:val="0"/>
      <w:divBdr>
        <w:top w:val="none" w:sz="0" w:space="0" w:color="auto"/>
        <w:left w:val="none" w:sz="0" w:space="0" w:color="auto"/>
        <w:bottom w:val="none" w:sz="0" w:space="0" w:color="auto"/>
        <w:right w:val="none" w:sz="0" w:space="0" w:color="auto"/>
      </w:divBdr>
    </w:div>
    <w:div w:id="1127552770">
      <w:bodyDiv w:val="1"/>
      <w:marLeft w:val="0"/>
      <w:marRight w:val="0"/>
      <w:marTop w:val="0"/>
      <w:marBottom w:val="0"/>
      <w:divBdr>
        <w:top w:val="none" w:sz="0" w:space="0" w:color="auto"/>
        <w:left w:val="none" w:sz="0" w:space="0" w:color="auto"/>
        <w:bottom w:val="none" w:sz="0" w:space="0" w:color="auto"/>
        <w:right w:val="none" w:sz="0" w:space="0" w:color="auto"/>
      </w:divBdr>
    </w:div>
    <w:div w:id="1146556256">
      <w:bodyDiv w:val="1"/>
      <w:marLeft w:val="0"/>
      <w:marRight w:val="0"/>
      <w:marTop w:val="0"/>
      <w:marBottom w:val="0"/>
      <w:divBdr>
        <w:top w:val="none" w:sz="0" w:space="0" w:color="auto"/>
        <w:left w:val="none" w:sz="0" w:space="0" w:color="auto"/>
        <w:bottom w:val="none" w:sz="0" w:space="0" w:color="auto"/>
        <w:right w:val="none" w:sz="0" w:space="0" w:color="auto"/>
      </w:divBdr>
    </w:div>
    <w:div w:id="1174226799">
      <w:bodyDiv w:val="1"/>
      <w:marLeft w:val="0"/>
      <w:marRight w:val="0"/>
      <w:marTop w:val="0"/>
      <w:marBottom w:val="0"/>
      <w:divBdr>
        <w:top w:val="none" w:sz="0" w:space="0" w:color="auto"/>
        <w:left w:val="none" w:sz="0" w:space="0" w:color="auto"/>
        <w:bottom w:val="none" w:sz="0" w:space="0" w:color="auto"/>
        <w:right w:val="none" w:sz="0" w:space="0" w:color="auto"/>
      </w:divBdr>
    </w:div>
    <w:div w:id="1186139050">
      <w:bodyDiv w:val="1"/>
      <w:marLeft w:val="0"/>
      <w:marRight w:val="0"/>
      <w:marTop w:val="0"/>
      <w:marBottom w:val="0"/>
      <w:divBdr>
        <w:top w:val="none" w:sz="0" w:space="0" w:color="auto"/>
        <w:left w:val="none" w:sz="0" w:space="0" w:color="auto"/>
        <w:bottom w:val="none" w:sz="0" w:space="0" w:color="auto"/>
        <w:right w:val="none" w:sz="0" w:space="0" w:color="auto"/>
      </w:divBdr>
    </w:div>
    <w:div w:id="1206527246">
      <w:bodyDiv w:val="1"/>
      <w:marLeft w:val="0"/>
      <w:marRight w:val="0"/>
      <w:marTop w:val="0"/>
      <w:marBottom w:val="0"/>
      <w:divBdr>
        <w:top w:val="none" w:sz="0" w:space="0" w:color="auto"/>
        <w:left w:val="none" w:sz="0" w:space="0" w:color="auto"/>
        <w:bottom w:val="none" w:sz="0" w:space="0" w:color="auto"/>
        <w:right w:val="none" w:sz="0" w:space="0" w:color="auto"/>
      </w:divBdr>
    </w:div>
    <w:div w:id="1211381892">
      <w:bodyDiv w:val="1"/>
      <w:marLeft w:val="0"/>
      <w:marRight w:val="0"/>
      <w:marTop w:val="0"/>
      <w:marBottom w:val="0"/>
      <w:divBdr>
        <w:top w:val="none" w:sz="0" w:space="0" w:color="auto"/>
        <w:left w:val="none" w:sz="0" w:space="0" w:color="auto"/>
        <w:bottom w:val="none" w:sz="0" w:space="0" w:color="auto"/>
        <w:right w:val="none" w:sz="0" w:space="0" w:color="auto"/>
      </w:divBdr>
    </w:div>
    <w:div w:id="1218474831">
      <w:bodyDiv w:val="1"/>
      <w:marLeft w:val="0"/>
      <w:marRight w:val="0"/>
      <w:marTop w:val="0"/>
      <w:marBottom w:val="0"/>
      <w:divBdr>
        <w:top w:val="none" w:sz="0" w:space="0" w:color="auto"/>
        <w:left w:val="none" w:sz="0" w:space="0" w:color="auto"/>
        <w:bottom w:val="none" w:sz="0" w:space="0" w:color="auto"/>
        <w:right w:val="none" w:sz="0" w:space="0" w:color="auto"/>
      </w:divBdr>
    </w:div>
    <w:div w:id="1218512440">
      <w:bodyDiv w:val="1"/>
      <w:marLeft w:val="0"/>
      <w:marRight w:val="0"/>
      <w:marTop w:val="0"/>
      <w:marBottom w:val="0"/>
      <w:divBdr>
        <w:top w:val="none" w:sz="0" w:space="0" w:color="auto"/>
        <w:left w:val="none" w:sz="0" w:space="0" w:color="auto"/>
        <w:bottom w:val="none" w:sz="0" w:space="0" w:color="auto"/>
        <w:right w:val="none" w:sz="0" w:space="0" w:color="auto"/>
      </w:divBdr>
    </w:div>
    <w:div w:id="1360817152">
      <w:bodyDiv w:val="1"/>
      <w:marLeft w:val="0"/>
      <w:marRight w:val="0"/>
      <w:marTop w:val="0"/>
      <w:marBottom w:val="0"/>
      <w:divBdr>
        <w:top w:val="none" w:sz="0" w:space="0" w:color="auto"/>
        <w:left w:val="none" w:sz="0" w:space="0" w:color="auto"/>
        <w:bottom w:val="none" w:sz="0" w:space="0" w:color="auto"/>
        <w:right w:val="none" w:sz="0" w:space="0" w:color="auto"/>
      </w:divBdr>
    </w:div>
    <w:div w:id="1441608115">
      <w:bodyDiv w:val="1"/>
      <w:marLeft w:val="0"/>
      <w:marRight w:val="0"/>
      <w:marTop w:val="0"/>
      <w:marBottom w:val="0"/>
      <w:divBdr>
        <w:top w:val="none" w:sz="0" w:space="0" w:color="auto"/>
        <w:left w:val="none" w:sz="0" w:space="0" w:color="auto"/>
        <w:bottom w:val="none" w:sz="0" w:space="0" w:color="auto"/>
        <w:right w:val="none" w:sz="0" w:space="0" w:color="auto"/>
      </w:divBdr>
    </w:div>
    <w:div w:id="1457680680">
      <w:bodyDiv w:val="1"/>
      <w:marLeft w:val="0"/>
      <w:marRight w:val="0"/>
      <w:marTop w:val="0"/>
      <w:marBottom w:val="0"/>
      <w:divBdr>
        <w:top w:val="none" w:sz="0" w:space="0" w:color="auto"/>
        <w:left w:val="none" w:sz="0" w:space="0" w:color="auto"/>
        <w:bottom w:val="none" w:sz="0" w:space="0" w:color="auto"/>
        <w:right w:val="none" w:sz="0" w:space="0" w:color="auto"/>
      </w:divBdr>
    </w:div>
    <w:div w:id="1467628260">
      <w:bodyDiv w:val="1"/>
      <w:marLeft w:val="0"/>
      <w:marRight w:val="0"/>
      <w:marTop w:val="0"/>
      <w:marBottom w:val="0"/>
      <w:divBdr>
        <w:top w:val="none" w:sz="0" w:space="0" w:color="auto"/>
        <w:left w:val="none" w:sz="0" w:space="0" w:color="auto"/>
        <w:bottom w:val="none" w:sz="0" w:space="0" w:color="auto"/>
        <w:right w:val="none" w:sz="0" w:space="0" w:color="auto"/>
      </w:divBdr>
    </w:div>
    <w:div w:id="1519659853">
      <w:bodyDiv w:val="1"/>
      <w:marLeft w:val="0"/>
      <w:marRight w:val="0"/>
      <w:marTop w:val="0"/>
      <w:marBottom w:val="0"/>
      <w:divBdr>
        <w:top w:val="none" w:sz="0" w:space="0" w:color="auto"/>
        <w:left w:val="none" w:sz="0" w:space="0" w:color="auto"/>
        <w:bottom w:val="none" w:sz="0" w:space="0" w:color="auto"/>
        <w:right w:val="none" w:sz="0" w:space="0" w:color="auto"/>
      </w:divBdr>
    </w:div>
    <w:div w:id="1574122672">
      <w:bodyDiv w:val="1"/>
      <w:marLeft w:val="0"/>
      <w:marRight w:val="0"/>
      <w:marTop w:val="0"/>
      <w:marBottom w:val="0"/>
      <w:divBdr>
        <w:top w:val="none" w:sz="0" w:space="0" w:color="auto"/>
        <w:left w:val="none" w:sz="0" w:space="0" w:color="auto"/>
        <w:bottom w:val="none" w:sz="0" w:space="0" w:color="auto"/>
        <w:right w:val="none" w:sz="0" w:space="0" w:color="auto"/>
      </w:divBdr>
    </w:div>
    <w:div w:id="1619337423">
      <w:bodyDiv w:val="1"/>
      <w:marLeft w:val="0"/>
      <w:marRight w:val="0"/>
      <w:marTop w:val="0"/>
      <w:marBottom w:val="0"/>
      <w:divBdr>
        <w:top w:val="none" w:sz="0" w:space="0" w:color="auto"/>
        <w:left w:val="none" w:sz="0" w:space="0" w:color="auto"/>
        <w:bottom w:val="none" w:sz="0" w:space="0" w:color="auto"/>
        <w:right w:val="none" w:sz="0" w:space="0" w:color="auto"/>
      </w:divBdr>
    </w:div>
    <w:div w:id="1623803578">
      <w:bodyDiv w:val="1"/>
      <w:marLeft w:val="0"/>
      <w:marRight w:val="0"/>
      <w:marTop w:val="0"/>
      <w:marBottom w:val="0"/>
      <w:divBdr>
        <w:top w:val="none" w:sz="0" w:space="0" w:color="auto"/>
        <w:left w:val="none" w:sz="0" w:space="0" w:color="auto"/>
        <w:bottom w:val="none" w:sz="0" w:space="0" w:color="auto"/>
        <w:right w:val="none" w:sz="0" w:space="0" w:color="auto"/>
      </w:divBdr>
    </w:div>
    <w:div w:id="1683193854">
      <w:bodyDiv w:val="1"/>
      <w:marLeft w:val="0"/>
      <w:marRight w:val="0"/>
      <w:marTop w:val="0"/>
      <w:marBottom w:val="0"/>
      <w:divBdr>
        <w:top w:val="none" w:sz="0" w:space="0" w:color="auto"/>
        <w:left w:val="none" w:sz="0" w:space="0" w:color="auto"/>
        <w:bottom w:val="none" w:sz="0" w:space="0" w:color="auto"/>
        <w:right w:val="none" w:sz="0" w:space="0" w:color="auto"/>
      </w:divBdr>
    </w:div>
    <w:div w:id="1684816007">
      <w:bodyDiv w:val="1"/>
      <w:marLeft w:val="0"/>
      <w:marRight w:val="0"/>
      <w:marTop w:val="0"/>
      <w:marBottom w:val="0"/>
      <w:divBdr>
        <w:top w:val="none" w:sz="0" w:space="0" w:color="auto"/>
        <w:left w:val="none" w:sz="0" w:space="0" w:color="auto"/>
        <w:bottom w:val="none" w:sz="0" w:space="0" w:color="auto"/>
        <w:right w:val="none" w:sz="0" w:space="0" w:color="auto"/>
      </w:divBdr>
    </w:div>
    <w:div w:id="1701278019">
      <w:bodyDiv w:val="1"/>
      <w:marLeft w:val="0"/>
      <w:marRight w:val="0"/>
      <w:marTop w:val="0"/>
      <w:marBottom w:val="0"/>
      <w:divBdr>
        <w:top w:val="none" w:sz="0" w:space="0" w:color="auto"/>
        <w:left w:val="none" w:sz="0" w:space="0" w:color="auto"/>
        <w:bottom w:val="none" w:sz="0" w:space="0" w:color="auto"/>
        <w:right w:val="none" w:sz="0" w:space="0" w:color="auto"/>
      </w:divBdr>
    </w:div>
    <w:div w:id="1741781265">
      <w:bodyDiv w:val="1"/>
      <w:marLeft w:val="0"/>
      <w:marRight w:val="0"/>
      <w:marTop w:val="0"/>
      <w:marBottom w:val="0"/>
      <w:divBdr>
        <w:top w:val="none" w:sz="0" w:space="0" w:color="auto"/>
        <w:left w:val="none" w:sz="0" w:space="0" w:color="auto"/>
        <w:bottom w:val="none" w:sz="0" w:space="0" w:color="auto"/>
        <w:right w:val="none" w:sz="0" w:space="0" w:color="auto"/>
      </w:divBdr>
    </w:div>
    <w:div w:id="1776630356">
      <w:bodyDiv w:val="1"/>
      <w:marLeft w:val="0"/>
      <w:marRight w:val="0"/>
      <w:marTop w:val="0"/>
      <w:marBottom w:val="0"/>
      <w:divBdr>
        <w:top w:val="none" w:sz="0" w:space="0" w:color="auto"/>
        <w:left w:val="none" w:sz="0" w:space="0" w:color="auto"/>
        <w:bottom w:val="none" w:sz="0" w:space="0" w:color="auto"/>
        <w:right w:val="none" w:sz="0" w:space="0" w:color="auto"/>
      </w:divBdr>
    </w:div>
    <w:div w:id="1886137386">
      <w:bodyDiv w:val="1"/>
      <w:marLeft w:val="0"/>
      <w:marRight w:val="0"/>
      <w:marTop w:val="0"/>
      <w:marBottom w:val="0"/>
      <w:divBdr>
        <w:top w:val="none" w:sz="0" w:space="0" w:color="auto"/>
        <w:left w:val="none" w:sz="0" w:space="0" w:color="auto"/>
        <w:bottom w:val="none" w:sz="0" w:space="0" w:color="auto"/>
        <w:right w:val="none" w:sz="0" w:space="0" w:color="auto"/>
      </w:divBdr>
    </w:div>
    <w:div w:id="1927881898">
      <w:bodyDiv w:val="1"/>
      <w:marLeft w:val="0"/>
      <w:marRight w:val="0"/>
      <w:marTop w:val="0"/>
      <w:marBottom w:val="0"/>
      <w:divBdr>
        <w:top w:val="none" w:sz="0" w:space="0" w:color="auto"/>
        <w:left w:val="none" w:sz="0" w:space="0" w:color="auto"/>
        <w:bottom w:val="none" w:sz="0" w:space="0" w:color="auto"/>
        <w:right w:val="none" w:sz="0" w:space="0" w:color="auto"/>
      </w:divBdr>
    </w:div>
    <w:div w:id="1968200452">
      <w:bodyDiv w:val="1"/>
      <w:marLeft w:val="0"/>
      <w:marRight w:val="0"/>
      <w:marTop w:val="0"/>
      <w:marBottom w:val="0"/>
      <w:divBdr>
        <w:top w:val="none" w:sz="0" w:space="0" w:color="auto"/>
        <w:left w:val="none" w:sz="0" w:space="0" w:color="auto"/>
        <w:bottom w:val="none" w:sz="0" w:space="0" w:color="auto"/>
        <w:right w:val="none" w:sz="0" w:space="0" w:color="auto"/>
      </w:divBdr>
    </w:div>
    <w:div w:id="2011368907">
      <w:bodyDiv w:val="1"/>
      <w:marLeft w:val="0"/>
      <w:marRight w:val="0"/>
      <w:marTop w:val="0"/>
      <w:marBottom w:val="0"/>
      <w:divBdr>
        <w:top w:val="none" w:sz="0" w:space="0" w:color="auto"/>
        <w:left w:val="none" w:sz="0" w:space="0" w:color="auto"/>
        <w:bottom w:val="none" w:sz="0" w:space="0" w:color="auto"/>
        <w:right w:val="none" w:sz="0" w:space="0" w:color="auto"/>
      </w:divBdr>
    </w:div>
    <w:div w:id="2041472765">
      <w:bodyDiv w:val="1"/>
      <w:marLeft w:val="0"/>
      <w:marRight w:val="0"/>
      <w:marTop w:val="0"/>
      <w:marBottom w:val="0"/>
      <w:divBdr>
        <w:top w:val="none" w:sz="0" w:space="0" w:color="auto"/>
        <w:left w:val="none" w:sz="0" w:space="0" w:color="auto"/>
        <w:bottom w:val="none" w:sz="0" w:space="0" w:color="auto"/>
        <w:right w:val="none" w:sz="0" w:space="0" w:color="auto"/>
      </w:divBdr>
      <w:divsChild>
        <w:div w:id="769159306">
          <w:marLeft w:val="0"/>
          <w:marRight w:val="0"/>
          <w:marTop w:val="0"/>
          <w:marBottom w:val="0"/>
          <w:divBdr>
            <w:top w:val="none" w:sz="0" w:space="0" w:color="auto"/>
            <w:left w:val="none" w:sz="0" w:space="0" w:color="auto"/>
            <w:bottom w:val="none" w:sz="0" w:space="0" w:color="auto"/>
            <w:right w:val="none" w:sz="0" w:space="0" w:color="auto"/>
          </w:divBdr>
        </w:div>
      </w:divsChild>
    </w:div>
    <w:div w:id="2102142953">
      <w:bodyDiv w:val="1"/>
      <w:marLeft w:val="0"/>
      <w:marRight w:val="0"/>
      <w:marTop w:val="0"/>
      <w:marBottom w:val="0"/>
      <w:divBdr>
        <w:top w:val="none" w:sz="0" w:space="0" w:color="auto"/>
        <w:left w:val="none" w:sz="0" w:space="0" w:color="auto"/>
        <w:bottom w:val="none" w:sz="0" w:space="0" w:color="auto"/>
        <w:right w:val="none" w:sz="0" w:space="0" w:color="auto"/>
      </w:divBdr>
    </w:div>
    <w:div w:id="2132478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wealth.com.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A2E9C5-E2F9-40BE-B140-8C7A523A1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4451</TotalTime>
  <Pages>8</Pages>
  <Words>579</Words>
  <Characters>3302</Characters>
  <Application>Microsoft Office Word</Application>
  <DocSecurity>0</DocSecurity>
  <Lines>27</Lines>
  <Paragraphs>7</Paragraphs>
  <ScaleCrop>false</ScaleCrop>
  <Company/>
  <LinksUpToDate>false</LinksUpToDate>
  <CharactersWithSpaces>3874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yangyang0734@outlook.com</dc:creator>
  <cp:keywords/>
  <dc:description/>
  <cp:lastModifiedBy>yang'yang</cp:lastModifiedBy>
  <cp:revision>699</cp:revision>
  <cp:lastPrinted>2024-05-15T11:19:00Z</cp:lastPrinted>
  <dcterms:created xsi:type="dcterms:W3CDTF">2021-10-14T09:37:00Z</dcterms:created>
  <dcterms:modified xsi:type="dcterms:W3CDTF">2026-02-09T07:40:00Z</dcterms:modified>
</cp:coreProperties>
</file>